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2EA8" w14:textId="071A0318" w:rsidR="000F7B66" w:rsidRPr="00B754BD" w:rsidRDefault="00B754BD" w:rsidP="00B754BD">
      <w:pPr>
        <w:tabs>
          <w:tab w:val="left" w:pos="480"/>
          <w:tab w:val="center" w:pos="4536"/>
        </w:tabs>
        <w:rPr>
          <w:b/>
          <w:bCs/>
          <w:lang w:eastAsia="lt-LT"/>
        </w:rPr>
      </w:pPr>
      <w:r>
        <w:rPr>
          <w:lang w:eastAsia="lt-LT"/>
        </w:rPr>
        <w:tab/>
      </w:r>
      <w:r w:rsidRPr="00B754BD">
        <w:rPr>
          <w:b/>
          <w:bCs/>
          <w:highlight w:val="yellow"/>
          <w:lang w:eastAsia="lt-LT"/>
        </w:rPr>
        <w:t>19.</w:t>
      </w:r>
      <w:r w:rsidRPr="00B754BD">
        <w:rPr>
          <w:b/>
          <w:bCs/>
          <w:lang w:eastAsia="lt-LT"/>
        </w:rPr>
        <w:tab/>
      </w:r>
      <w:r w:rsidR="00D60963" w:rsidRPr="00B754BD">
        <w:rPr>
          <w:b/>
          <w:bCs/>
          <w:noProof/>
          <w:lang w:eastAsia="lt-LT"/>
        </w:rPr>
        <mc:AlternateContent>
          <mc:Choice Requires="wps">
            <w:drawing>
              <wp:anchor distT="0" distB="0" distL="114300" distR="114300" simplePos="0" relativeHeight="251657216" behindDoc="0" locked="0" layoutInCell="1" allowOverlap="1" wp14:anchorId="4566A6DB" wp14:editId="0E1BEB9D">
                <wp:simplePos x="0" y="0"/>
                <wp:positionH relativeFrom="column">
                  <wp:posOffset>3982085</wp:posOffset>
                </wp:positionH>
                <wp:positionV relativeFrom="paragraph">
                  <wp:posOffset>18415</wp:posOffset>
                </wp:positionV>
                <wp:extent cx="2400300" cy="34290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7D2F0" w14:textId="0126C91A" w:rsidR="00D60963" w:rsidRPr="00DD0A2F" w:rsidRDefault="00D60963">
                            <w:pPr>
                              <w:rPr>
                                <w:rFonts w:ascii="Arial" w:hAnsi="Arial" w:cs="Arial"/>
                                <w:b/>
                              </w:rPr>
                            </w:pPr>
                            <w:r>
                              <w:rPr>
                                <w:rFonts w:ascii="Arial" w:hAnsi="Arial" w:cs="Arial"/>
                                <w:b/>
                              </w:rPr>
                              <w:t>Projektas Nr. 12TS-</w:t>
                            </w:r>
                            <w:r w:rsidR="00E545B6">
                              <w:rPr>
                                <w:rFonts w:ascii="Arial" w:hAnsi="Arial" w:cs="Arial"/>
                                <w:b/>
                              </w:rPr>
                              <w:t>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6A6DB" id="_x0000_t202" coordsize="21600,21600" o:spt="202" path="m,l,21600r21600,l21600,xe">
                <v:stroke joinstyle="miter"/>
                <v:path gradientshapeok="t" o:connecttype="rect"/>
              </v:shapetype>
              <v:shape id="Teksto laukas 1" o:spid="_x0000_s1026" type="#_x0000_t202" style="position:absolute;margin-left:313.55pt;margin-top:1.45pt;width:18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" filled="f" stroked="f">
                <v:textbox>
                  <w:txbxContent>
                    <w:p w14:paraId="2487D2F0" w14:textId="0126C91A" w:rsidR="00D60963" w:rsidRPr="00DD0A2F" w:rsidRDefault="00D60963">
                      <w:pPr>
                        <w:rPr>
                          <w:rFonts w:ascii="Arial" w:hAnsi="Arial" w:cs="Arial"/>
                          <w:b/>
                        </w:rPr>
                      </w:pPr>
                      <w:r>
                        <w:rPr>
                          <w:rFonts w:ascii="Arial" w:hAnsi="Arial" w:cs="Arial"/>
                          <w:b/>
                        </w:rPr>
                        <w:t>Projektas Nr. 12TS-</w:t>
                      </w:r>
                      <w:r w:rsidR="00E545B6">
                        <w:rPr>
                          <w:rFonts w:ascii="Arial" w:hAnsi="Arial" w:cs="Arial"/>
                          <w:b/>
                        </w:rPr>
                        <w:t>62</w:t>
                      </w:r>
                    </w:p>
                  </w:txbxContent>
                </v:textbox>
              </v:shape>
            </w:pict>
          </mc:Fallback>
        </mc:AlternateContent>
      </w:r>
      <w:r w:rsidR="00D60963" w:rsidRPr="00B754BD">
        <w:rPr>
          <w:b/>
          <w:bCs/>
          <w:noProof/>
          <w:lang w:eastAsia="lt-LT"/>
        </w:rPr>
        <w:drawing>
          <wp:anchor distT="0" distB="0" distL="114300" distR="114300" simplePos="0" relativeHeight="251658240" behindDoc="1" locked="0" layoutInCell="1" allowOverlap="1" wp14:anchorId="602AA785" wp14:editId="5F699013">
            <wp:simplePos x="0" y="0"/>
            <wp:positionH relativeFrom="column">
              <wp:posOffset>2672080</wp:posOffset>
            </wp:positionH>
            <wp:positionV relativeFrom="paragraph">
              <wp:posOffset>10795</wp:posOffset>
            </wp:positionV>
            <wp:extent cx="446405" cy="540385"/>
            <wp:effectExtent l="0" t="0" r="0" b="0"/>
            <wp:wrapNone/>
            <wp:docPr id="2" name="Paveikslėlis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1B1C9" w14:textId="77777777" w:rsidR="000F7B66" w:rsidRPr="007B6DC7" w:rsidRDefault="000F7B66">
      <w:pPr>
        <w:ind w:left="7920"/>
        <w:jc w:val="center"/>
        <w:rPr>
          <w:b/>
          <w:lang w:eastAsia="lt-LT"/>
        </w:rPr>
      </w:pPr>
    </w:p>
    <w:p w14:paraId="3E6E1BD3" w14:textId="77777777" w:rsidR="000F7B66" w:rsidRPr="007B6DC7" w:rsidRDefault="000F7B66">
      <w:pPr>
        <w:rPr>
          <w:rFonts w:ascii="TimesLT" w:hAnsi="TimesLT"/>
          <w:sz w:val="16"/>
          <w:szCs w:val="16"/>
          <w:lang w:eastAsia="lt-LT"/>
        </w:rPr>
      </w:pPr>
    </w:p>
    <w:p w14:paraId="212E4326" w14:textId="77777777" w:rsidR="00D60963" w:rsidRDefault="00D60963">
      <w:pPr>
        <w:jc w:val="center"/>
        <w:rPr>
          <w:b/>
          <w:sz w:val="28"/>
          <w:lang w:eastAsia="lt-LT"/>
        </w:rPr>
      </w:pPr>
      <w:bookmarkStart w:id="0" w:name="_Hlk57659561"/>
    </w:p>
    <w:p w14:paraId="06D2C5F3" w14:textId="77777777" w:rsidR="000F7B66" w:rsidRPr="00D60963" w:rsidRDefault="00EC18EB">
      <w:pPr>
        <w:jc w:val="center"/>
        <w:rPr>
          <w:b/>
          <w:szCs w:val="24"/>
          <w:lang w:eastAsia="lt-LT"/>
        </w:rPr>
      </w:pPr>
      <w:r w:rsidRPr="00D60963">
        <w:rPr>
          <w:b/>
          <w:szCs w:val="24"/>
          <w:lang w:eastAsia="lt-LT"/>
        </w:rPr>
        <w:t>JONAVOS RAJONO</w:t>
      </w:r>
      <w:r w:rsidR="008B6F43" w:rsidRPr="00D60963">
        <w:rPr>
          <w:b/>
          <w:szCs w:val="24"/>
          <w:lang w:eastAsia="lt-LT"/>
        </w:rPr>
        <w:t xml:space="preserve"> SAVIVALDYBĖS TARYBA</w:t>
      </w:r>
    </w:p>
    <w:bookmarkEnd w:id="0"/>
    <w:p w14:paraId="5F00B725" w14:textId="77777777" w:rsidR="000F7B66" w:rsidRPr="00D60963" w:rsidRDefault="000F7B66">
      <w:pPr>
        <w:jc w:val="center"/>
        <w:rPr>
          <w:b/>
          <w:szCs w:val="24"/>
          <w:lang w:eastAsia="lt-LT"/>
        </w:rPr>
      </w:pPr>
    </w:p>
    <w:p w14:paraId="397EE54D" w14:textId="77777777" w:rsidR="000F7B66" w:rsidRPr="00D60963" w:rsidRDefault="008B6F43">
      <w:pPr>
        <w:tabs>
          <w:tab w:val="center" w:pos="4153"/>
          <w:tab w:val="right" w:pos="8306"/>
        </w:tabs>
        <w:jc w:val="center"/>
        <w:rPr>
          <w:b/>
          <w:szCs w:val="24"/>
          <w:lang w:eastAsia="lt-LT"/>
        </w:rPr>
      </w:pPr>
      <w:r w:rsidRPr="00D60963">
        <w:rPr>
          <w:b/>
          <w:szCs w:val="24"/>
          <w:lang w:eastAsia="lt-LT"/>
        </w:rPr>
        <w:t>SPRENDIMAS</w:t>
      </w:r>
    </w:p>
    <w:p w14:paraId="542F932A" w14:textId="58CF4F0C" w:rsidR="009C5CFA" w:rsidRPr="00D60963" w:rsidRDefault="009C5CFA" w:rsidP="009C5CFA">
      <w:pPr>
        <w:jc w:val="center"/>
        <w:rPr>
          <w:rFonts w:ascii="Times New Roman Bold" w:hAnsi="Times New Roman Bold"/>
          <w:b/>
          <w:caps/>
          <w:szCs w:val="24"/>
          <w:lang w:eastAsia="lt-LT"/>
        </w:rPr>
      </w:pPr>
      <w:r w:rsidRPr="00D60963">
        <w:rPr>
          <w:rFonts w:ascii="Times New Roman Bold" w:hAnsi="Times New Roman Bold"/>
          <w:b/>
          <w:caps/>
          <w:szCs w:val="24"/>
          <w:lang w:eastAsia="lt-LT"/>
        </w:rPr>
        <w:t xml:space="preserve">DĖL </w:t>
      </w:r>
      <w:r w:rsidR="00EB2025">
        <w:rPr>
          <w:rFonts w:ascii="Times New Roman Bold" w:hAnsi="Times New Roman Bold"/>
          <w:b/>
          <w:caps/>
          <w:szCs w:val="24"/>
          <w:lang w:eastAsia="lt-LT"/>
        </w:rPr>
        <w:t xml:space="preserve">PRITARIMO UŽDAROSIOS </w:t>
      </w:r>
      <w:r w:rsidR="00B9009E">
        <w:rPr>
          <w:rFonts w:ascii="Times New Roman Bold" w:hAnsi="Times New Roman Bold"/>
          <w:b/>
          <w:caps/>
          <w:szCs w:val="24"/>
          <w:lang w:eastAsia="lt-LT"/>
        </w:rPr>
        <w:t>AKCI</w:t>
      </w:r>
      <w:r w:rsidR="001B6893">
        <w:rPr>
          <w:rFonts w:ascii="Times New Roman Bold" w:hAnsi="Times New Roman Bold"/>
          <w:b/>
          <w:caps/>
          <w:szCs w:val="24"/>
          <w:lang w:eastAsia="lt-LT"/>
        </w:rPr>
        <w:t>NĖS BENDROVĖS „JONAVOS AUTOBUSAI</w:t>
      </w:r>
      <w:r w:rsidR="00EB2025">
        <w:rPr>
          <w:rFonts w:ascii="Times New Roman Bold" w:hAnsi="Times New Roman Bold"/>
          <w:b/>
          <w:caps/>
          <w:szCs w:val="24"/>
          <w:lang w:eastAsia="lt-LT"/>
        </w:rPr>
        <w:t xml:space="preserve">“ 2020 METŲ </w:t>
      </w:r>
      <w:r w:rsidR="001B6893">
        <w:rPr>
          <w:rFonts w:ascii="Times New Roman Bold" w:hAnsi="Times New Roman Bold"/>
          <w:b/>
          <w:caps/>
          <w:szCs w:val="24"/>
          <w:lang w:eastAsia="lt-LT"/>
        </w:rPr>
        <w:t>VEIKLOS ATASKAITAI</w:t>
      </w:r>
    </w:p>
    <w:p w14:paraId="402D8414" w14:textId="77777777" w:rsidR="000F7B66" w:rsidRPr="007B6DC7" w:rsidRDefault="000F7B66">
      <w:pPr>
        <w:spacing w:line="360" w:lineRule="auto"/>
        <w:jc w:val="center"/>
        <w:rPr>
          <w:b/>
          <w:sz w:val="22"/>
          <w:szCs w:val="22"/>
          <w:lang w:eastAsia="lt-LT"/>
        </w:rPr>
      </w:pPr>
    </w:p>
    <w:p w14:paraId="2D30DA98" w14:textId="6A839C32" w:rsidR="000F7B66" w:rsidRPr="007B6DC7" w:rsidRDefault="00EC18EB">
      <w:pPr>
        <w:ind w:left="720"/>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DA64E4">
        <w:rPr>
          <w:szCs w:val="24"/>
          <w:lang w:eastAsia="lt-LT"/>
        </w:rPr>
        <w:t>29</w:t>
      </w:r>
      <w:r w:rsidR="008B6F43" w:rsidRPr="007B6DC7">
        <w:rPr>
          <w:szCs w:val="24"/>
          <w:lang w:eastAsia="lt-LT"/>
        </w:rPr>
        <w:t xml:space="preserve"> d. Nr. </w:t>
      </w:r>
      <w:r w:rsidR="00D60963">
        <w:rPr>
          <w:szCs w:val="24"/>
          <w:lang w:eastAsia="lt-LT"/>
        </w:rPr>
        <w:t>1</w:t>
      </w:r>
      <w:r w:rsidR="008B6F43" w:rsidRPr="007B6DC7">
        <w:rPr>
          <w:szCs w:val="24"/>
          <w:lang w:eastAsia="lt-LT"/>
        </w:rPr>
        <w:t>TS-</w:t>
      </w:r>
    </w:p>
    <w:p w14:paraId="463EBF34" w14:textId="77777777" w:rsidR="000F7B66" w:rsidRPr="007B6DC7" w:rsidRDefault="00EC18EB">
      <w:pPr>
        <w:ind w:left="720"/>
        <w:jc w:val="center"/>
        <w:rPr>
          <w:szCs w:val="24"/>
          <w:lang w:eastAsia="lt-LT"/>
        </w:rPr>
      </w:pPr>
      <w:r>
        <w:rPr>
          <w:bCs/>
          <w:szCs w:val="24"/>
          <w:lang w:eastAsia="lt-LT"/>
        </w:rPr>
        <w:t>Jonava</w:t>
      </w:r>
    </w:p>
    <w:p w14:paraId="7039FA64" w14:textId="77777777" w:rsidR="000F7B66" w:rsidRPr="007B6DC7" w:rsidRDefault="000F7B66">
      <w:pPr>
        <w:tabs>
          <w:tab w:val="left" w:pos="1260"/>
        </w:tabs>
        <w:jc w:val="center"/>
        <w:rPr>
          <w:szCs w:val="24"/>
          <w:lang w:eastAsia="lt-LT"/>
        </w:rPr>
      </w:pPr>
    </w:p>
    <w:p w14:paraId="7B47B99F" w14:textId="77777777" w:rsidR="000F7B66" w:rsidRPr="007B6DC7" w:rsidRDefault="000F7B66">
      <w:pPr>
        <w:tabs>
          <w:tab w:val="left" w:pos="1260"/>
        </w:tabs>
        <w:spacing w:line="360" w:lineRule="auto"/>
        <w:jc w:val="center"/>
        <w:rPr>
          <w:szCs w:val="24"/>
          <w:lang w:eastAsia="lt-LT"/>
        </w:rPr>
      </w:pPr>
    </w:p>
    <w:p w14:paraId="09A90D2A" w14:textId="2AD52FC9" w:rsidR="001A7344" w:rsidRDefault="001A7344" w:rsidP="00576AF5">
      <w:pPr>
        <w:tabs>
          <w:tab w:val="left" w:pos="900"/>
        </w:tabs>
        <w:ind w:firstLine="902"/>
        <w:jc w:val="both"/>
        <w:rPr>
          <w:szCs w:val="24"/>
          <w:lang w:eastAsia="lt-LT"/>
        </w:rPr>
      </w:pPr>
      <w:r w:rsidRPr="00400D80">
        <w:rPr>
          <w:szCs w:val="24"/>
          <w:lang w:eastAsia="lt-LT"/>
        </w:rPr>
        <w:t>Vadovaudamasi Lietuvos Respublikos vietos savi</w:t>
      </w:r>
      <w:r w:rsidR="00576AF5">
        <w:rPr>
          <w:szCs w:val="24"/>
          <w:lang w:eastAsia="lt-LT"/>
        </w:rPr>
        <w:t xml:space="preserve">valdos įstatymo 16 straipsnio </w:t>
      </w:r>
      <w:r w:rsidR="00EB2025">
        <w:rPr>
          <w:szCs w:val="24"/>
          <w:lang w:eastAsia="lt-LT"/>
        </w:rPr>
        <w:t>2 dalies 19 punktu ir</w:t>
      </w:r>
      <w:r w:rsidRPr="00400D80">
        <w:rPr>
          <w:szCs w:val="24"/>
          <w:lang w:eastAsia="lt-LT"/>
        </w:rPr>
        <w:t xml:space="preserve">  </w:t>
      </w:r>
      <w:r w:rsidR="00D4521D">
        <w:rPr>
          <w:szCs w:val="24"/>
          <w:lang w:eastAsia="lt-LT"/>
        </w:rPr>
        <w:t xml:space="preserve">remdamasi </w:t>
      </w:r>
      <w:r w:rsidR="00EB2025">
        <w:rPr>
          <w:szCs w:val="24"/>
          <w:lang w:eastAsia="lt-LT"/>
        </w:rPr>
        <w:t>Jonavos rajono savivaldybė</w:t>
      </w:r>
      <w:r w:rsidR="00D4521D">
        <w:rPr>
          <w:szCs w:val="24"/>
          <w:lang w:eastAsia="lt-LT"/>
        </w:rPr>
        <w:t>s tarybos</w:t>
      </w:r>
      <w:r w:rsidR="00062AF0">
        <w:rPr>
          <w:szCs w:val="24"/>
          <w:lang w:eastAsia="lt-LT"/>
        </w:rPr>
        <w:t xml:space="preserve"> 2019 m. rugsėjo 19</w:t>
      </w:r>
      <w:r w:rsidR="0030738C">
        <w:rPr>
          <w:szCs w:val="24"/>
          <w:lang w:eastAsia="lt-LT"/>
        </w:rPr>
        <w:t xml:space="preserve"> d. </w:t>
      </w:r>
      <w:r w:rsidR="00062AF0">
        <w:rPr>
          <w:szCs w:val="24"/>
          <w:lang w:eastAsia="lt-LT"/>
        </w:rPr>
        <w:t xml:space="preserve"> sprendimu Nr.1TS-170</w:t>
      </w:r>
      <w:r w:rsidR="00EB2025">
        <w:rPr>
          <w:szCs w:val="24"/>
          <w:lang w:eastAsia="lt-LT"/>
        </w:rPr>
        <w:t xml:space="preserve"> patvirtinto Jonavos rajono savivaldybės tarybos veiklos reglamento 15.6 punktu bei atsižvelgdama į uždarosios </w:t>
      </w:r>
      <w:r w:rsidR="00B9009E">
        <w:rPr>
          <w:szCs w:val="24"/>
          <w:lang w:eastAsia="lt-LT"/>
        </w:rPr>
        <w:t>akci</w:t>
      </w:r>
      <w:r w:rsidR="001B6893">
        <w:rPr>
          <w:szCs w:val="24"/>
          <w:lang w:eastAsia="lt-LT"/>
        </w:rPr>
        <w:t>nės bendrovės „Jonavos autobusai</w:t>
      </w:r>
      <w:r w:rsidR="00B9009E">
        <w:rPr>
          <w:szCs w:val="24"/>
          <w:lang w:eastAsia="lt-LT"/>
        </w:rPr>
        <w:t xml:space="preserve">“ </w:t>
      </w:r>
      <w:r w:rsidR="00770212">
        <w:rPr>
          <w:szCs w:val="24"/>
          <w:lang w:eastAsia="lt-LT"/>
        </w:rPr>
        <w:t>2021 m. kovo 30</w:t>
      </w:r>
      <w:r w:rsidR="00EB2025" w:rsidRPr="00770212">
        <w:rPr>
          <w:szCs w:val="24"/>
          <w:lang w:eastAsia="lt-LT"/>
        </w:rPr>
        <w:t xml:space="preserve"> d. raštą Nr. </w:t>
      </w:r>
      <w:r w:rsidR="00770212" w:rsidRPr="00770212">
        <w:rPr>
          <w:szCs w:val="24"/>
          <w:lang w:eastAsia="lt-LT"/>
        </w:rPr>
        <w:t>S-48</w:t>
      </w:r>
      <w:r w:rsidR="001B6893" w:rsidRPr="00770212">
        <w:rPr>
          <w:szCs w:val="24"/>
          <w:lang w:eastAsia="lt-LT"/>
        </w:rPr>
        <w:t xml:space="preserve"> „Dėl </w:t>
      </w:r>
      <w:r w:rsidR="00770212" w:rsidRPr="00770212">
        <w:rPr>
          <w:szCs w:val="24"/>
          <w:lang w:eastAsia="lt-LT"/>
        </w:rPr>
        <w:t>dokumentų pateikimo</w:t>
      </w:r>
      <w:r w:rsidR="00B9009E" w:rsidRPr="00770212">
        <w:rPr>
          <w:szCs w:val="24"/>
          <w:lang w:eastAsia="lt-LT"/>
        </w:rPr>
        <w:t>“</w:t>
      </w:r>
      <w:r w:rsidR="00EB2025" w:rsidRPr="00770212">
        <w:rPr>
          <w:szCs w:val="24"/>
          <w:lang w:eastAsia="lt-LT"/>
        </w:rPr>
        <w:t>,</w:t>
      </w:r>
      <w:r w:rsidRPr="00770212">
        <w:rPr>
          <w:color w:val="000000"/>
          <w:szCs w:val="24"/>
          <w:lang w:eastAsia="lt-LT"/>
        </w:rPr>
        <w:t xml:space="preserve"> </w:t>
      </w:r>
      <w:r w:rsidRPr="00770212">
        <w:rPr>
          <w:bCs/>
          <w:color w:val="000000"/>
          <w:szCs w:val="24"/>
          <w:lang w:eastAsia="lt-LT"/>
        </w:rPr>
        <w:t>Jonavos</w:t>
      </w:r>
      <w:r w:rsidRPr="00770212">
        <w:rPr>
          <w:bCs/>
          <w:szCs w:val="24"/>
          <w:lang w:eastAsia="lt-LT"/>
        </w:rPr>
        <w:t xml:space="preserve"> rajono savivaldybės</w:t>
      </w:r>
      <w:r w:rsidRPr="00400D80">
        <w:rPr>
          <w:bCs/>
          <w:szCs w:val="24"/>
          <w:lang w:eastAsia="lt-LT"/>
        </w:rPr>
        <w:t xml:space="preserve"> </w:t>
      </w:r>
      <w:r w:rsidRPr="00400D80">
        <w:rPr>
          <w:szCs w:val="24"/>
          <w:lang w:eastAsia="lt-LT"/>
        </w:rPr>
        <w:t>taryba  n u s p r e n d ž i a:</w:t>
      </w:r>
    </w:p>
    <w:p w14:paraId="2C390949" w14:textId="6022CE04" w:rsidR="00EB2025" w:rsidRPr="007B6DC7" w:rsidRDefault="00EB2025" w:rsidP="00576AF5">
      <w:pPr>
        <w:tabs>
          <w:tab w:val="left" w:pos="900"/>
        </w:tabs>
        <w:ind w:firstLine="902"/>
        <w:jc w:val="both"/>
        <w:rPr>
          <w:szCs w:val="24"/>
          <w:lang w:eastAsia="lt-LT"/>
        </w:rPr>
      </w:pPr>
      <w:r>
        <w:rPr>
          <w:szCs w:val="24"/>
          <w:lang w:eastAsia="lt-LT"/>
        </w:rPr>
        <w:t xml:space="preserve">Pritarti uždarosios </w:t>
      </w:r>
      <w:r w:rsidR="00B9009E">
        <w:rPr>
          <w:szCs w:val="24"/>
          <w:lang w:eastAsia="lt-LT"/>
        </w:rPr>
        <w:t>akci</w:t>
      </w:r>
      <w:r w:rsidR="001B6893">
        <w:rPr>
          <w:szCs w:val="24"/>
          <w:lang w:eastAsia="lt-LT"/>
        </w:rPr>
        <w:t>nės bendrovės „Jonavos autobusai</w:t>
      </w:r>
      <w:r>
        <w:rPr>
          <w:szCs w:val="24"/>
          <w:lang w:eastAsia="lt-LT"/>
        </w:rPr>
        <w:t>“ 2020 metų veiklos ataskaitai (pridedama).</w:t>
      </w:r>
    </w:p>
    <w:p w14:paraId="340855AC" w14:textId="77777777" w:rsidR="00576AF5" w:rsidRDefault="00576AF5" w:rsidP="00576AF5">
      <w:pPr>
        <w:ind w:firstLine="902"/>
        <w:jc w:val="both"/>
        <w:rPr>
          <w:szCs w:val="24"/>
        </w:rPr>
      </w:pPr>
      <w:r w:rsidRPr="00576AF5">
        <w:rPr>
          <w:szCs w:val="24"/>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3ECB6E38" w14:textId="77777777" w:rsidR="00576AF5" w:rsidRDefault="00576AF5" w:rsidP="00576AF5">
      <w:pPr>
        <w:ind w:firstLine="902"/>
        <w:jc w:val="both"/>
        <w:rPr>
          <w:szCs w:val="24"/>
        </w:rPr>
      </w:pPr>
    </w:p>
    <w:p w14:paraId="1D501FCE" w14:textId="77777777" w:rsidR="00576AF5" w:rsidRDefault="00576AF5" w:rsidP="00576AF5">
      <w:pPr>
        <w:ind w:firstLine="902"/>
        <w:jc w:val="both"/>
        <w:rPr>
          <w:szCs w:val="24"/>
        </w:rPr>
      </w:pPr>
    </w:p>
    <w:p w14:paraId="25E0E3ED" w14:textId="77777777" w:rsidR="00576AF5" w:rsidRPr="00C377FE" w:rsidRDefault="00576AF5" w:rsidP="00576AF5">
      <w:pPr>
        <w:rPr>
          <w:szCs w:val="24"/>
        </w:rPr>
      </w:pPr>
      <w:r w:rsidRPr="00C377FE">
        <w:rPr>
          <w:szCs w:val="24"/>
        </w:rPr>
        <w:t>Savivaldybės</w:t>
      </w:r>
      <w:r>
        <w:rPr>
          <w:szCs w:val="24"/>
        </w:rPr>
        <w:t xml:space="preserve"> meras</w:t>
      </w:r>
      <w:r w:rsidRPr="00C377FE">
        <w:rPr>
          <w:szCs w:val="24"/>
        </w:rPr>
        <w:tab/>
      </w:r>
      <w:r w:rsidRPr="00C377FE">
        <w:rPr>
          <w:szCs w:val="24"/>
        </w:rPr>
        <w:tab/>
      </w:r>
      <w:r w:rsidRPr="00C377FE">
        <w:rPr>
          <w:szCs w:val="24"/>
        </w:rPr>
        <w:tab/>
      </w:r>
      <w:r>
        <w:rPr>
          <w:szCs w:val="24"/>
        </w:rPr>
        <w:t xml:space="preserve">                                                  Mindaugas Sinkevičius</w:t>
      </w:r>
    </w:p>
    <w:p w14:paraId="3F94B684" w14:textId="77777777" w:rsidR="00576AF5" w:rsidRDefault="00576AF5" w:rsidP="00576AF5">
      <w:pPr>
        <w:ind w:firstLine="902"/>
        <w:jc w:val="both"/>
        <w:rPr>
          <w:szCs w:val="24"/>
        </w:rPr>
      </w:pPr>
    </w:p>
    <w:p w14:paraId="472AC15E" w14:textId="77777777" w:rsidR="00576AF5" w:rsidRDefault="00576AF5" w:rsidP="00576AF5">
      <w:pPr>
        <w:ind w:firstLine="902"/>
        <w:jc w:val="both"/>
        <w:rPr>
          <w:szCs w:val="24"/>
        </w:rPr>
      </w:pPr>
    </w:p>
    <w:p w14:paraId="4E48FDB4" w14:textId="77777777" w:rsidR="00576AF5" w:rsidRDefault="00576AF5" w:rsidP="00576AF5">
      <w:pPr>
        <w:ind w:firstLine="902"/>
        <w:jc w:val="both"/>
        <w:rPr>
          <w:szCs w:val="24"/>
        </w:rPr>
      </w:pPr>
    </w:p>
    <w:p w14:paraId="6139B1F6" w14:textId="77777777" w:rsidR="00576AF5" w:rsidRDefault="00576AF5" w:rsidP="00576AF5">
      <w:pPr>
        <w:ind w:firstLine="902"/>
        <w:jc w:val="both"/>
        <w:rPr>
          <w:szCs w:val="24"/>
        </w:rPr>
      </w:pPr>
    </w:p>
    <w:p w14:paraId="7D6D26D2" w14:textId="77777777" w:rsidR="00BF7EFE" w:rsidRDefault="00BF7EFE" w:rsidP="00576AF5">
      <w:pPr>
        <w:ind w:firstLine="902"/>
        <w:jc w:val="both"/>
        <w:rPr>
          <w:szCs w:val="24"/>
        </w:rPr>
      </w:pPr>
    </w:p>
    <w:p w14:paraId="5F773B2D" w14:textId="77777777" w:rsidR="00576AF5" w:rsidRDefault="00576AF5" w:rsidP="00576AF5">
      <w:pPr>
        <w:ind w:firstLine="902"/>
        <w:jc w:val="both"/>
        <w:rPr>
          <w:szCs w:val="24"/>
        </w:rPr>
      </w:pPr>
    </w:p>
    <w:p w14:paraId="7C2614F8" w14:textId="77777777" w:rsidR="00576AF5" w:rsidRPr="006E6CF5" w:rsidRDefault="00576AF5" w:rsidP="00576AF5">
      <w:pPr>
        <w:jc w:val="both"/>
      </w:pPr>
      <w:r w:rsidRPr="006E6CF5">
        <w:t>Parengė</w:t>
      </w:r>
    </w:p>
    <w:p w14:paraId="5BFF7650" w14:textId="77777777" w:rsidR="00576AF5" w:rsidRDefault="00576AF5" w:rsidP="00576AF5">
      <w:pPr>
        <w:jc w:val="both"/>
      </w:pPr>
    </w:p>
    <w:p w14:paraId="7713AE12" w14:textId="4909E718" w:rsidR="009041E4" w:rsidRDefault="00576AF5" w:rsidP="00576AF5">
      <w:pPr>
        <w:jc w:val="both"/>
      </w:pPr>
      <w:r>
        <w:t>Vitalija Bublytė</w:t>
      </w:r>
      <w:r>
        <w:tab/>
      </w:r>
      <w:r>
        <w:tab/>
      </w:r>
      <w:r>
        <w:tab/>
        <w:t xml:space="preserve">      Valdas Majauskas</w:t>
      </w:r>
      <w:r w:rsidRPr="00993AE6">
        <w:t xml:space="preserve"> </w:t>
      </w:r>
      <w:r>
        <w:tab/>
      </w:r>
      <w:r>
        <w:tab/>
      </w:r>
      <w:proofErr w:type="spellStart"/>
      <w:r w:rsidR="009041E4">
        <w:t>Otaras</w:t>
      </w:r>
      <w:proofErr w:type="spellEnd"/>
      <w:r w:rsidR="009041E4">
        <w:t xml:space="preserve"> </w:t>
      </w:r>
      <w:proofErr w:type="spellStart"/>
      <w:r w:rsidR="009041E4">
        <w:t>Urbanas</w:t>
      </w:r>
      <w:proofErr w:type="spellEnd"/>
    </w:p>
    <w:p w14:paraId="1BF3559E" w14:textId="7ED04B67" w:rsidR="009041E4" w:rsidRPr="009041E4" w:rsidRDefault="009041E4" w:rsidP="00576AF5">
      <w:pPr>
        <w:jc w:val="both"/>
        <w:rPr>
          <w:sz w:val="22"/>
          <w:szCs w:val="22"/>
        </w:rPr>
      </w:pPr>
      <w:r>
        <w:t xml:space="preserve">                                                                                                         </w:t>
      </w:r>
      <w:r w:rsidR="00F269E4">
        <w:rPr>
          <w:sz w:val="22"/>
          <w:szCs w:val="22"/>
        </w:rPr>
        <w:t>Suderinta el. paštu 2021-04-12</w:t>
      </w:r>
    </w:p>
    <w:p w14:paraId="49BB9E5E" w14:textId="77777777" w:rsidR="009041E4" w:rsidRDefault="009041E4" w:rsidP="00576AF5">
      <w:pPr>
        <w:jc w:val="both"/>
      </w:pPr>
    </w:p>
    <w:p w14:paraId="3DB74AE6" w14:textId="77777777" w:rsidR="009041E4" w:rsidRDefault="009041E4" w:rsidP="00576AF5">
      <w:pPr>
        <w:jc w:val="both"/>
      </w:pPr>
    </w:p>
    <w:p w14:paraId="666C1CB6" w14:textId="2FDC4ACA" w:rsidR="00576AF5" w:rsidRDefault="00576AF5" w:rsidP="00576AF5">
      <w:pPr>
        <w:jc w:val="both"/>
      </w:pPr>
      <w:r>
        <w:t>Justas Budriūnas</w:t>
      </w:r>
      <w:r w:rsidRPr="00F5557A">
        <w:t xml:space="preserve"> </w:t>
      </w:r>
      <w:r>
        <w:tab/>
      </w:r>
      <w:r>
        <w:tab/>
      </w:r>
      <w:r>
        <w:tab/>
        <w:t xml:space="preserve">       Valda </w:t>
      </w:r>
      <w:proofErr w:type="spellStart"/>
      <w:r>
        <w:t>Koženiauskienė</w:t>
      </w:r>
      <w:proofErr w:type="spellEnd"/>
      <w:r w:rsidRPr="00993AE6">
        <w:t xml:space="preserve"> </w:t>
      </w:r>
      <w:r>
        <w:tab/>
      </w:r>
      <w:r>
        <w:tab/>
      </w:r>
    </w:p>
    <w:p w14:paraId="5C96535F" w14:textId="77777777" w:rsidR="00576AF5" w:rsidRDefault="00576AF5" w:rsidP="00576AF5">
      <w:pPr>
        <w:jc w:val="both"/>
        <w:outlineLvl w:val="0"/>
      </w:pPr>
    </w:p>
    <w:p w14:paraId="0E095AE0" w14:textId="77777777" w:rsidR="00D60963" w:rsidRDefault="00D60963" w:rsidP="00576AF5">
      <w:pPr>
        <w:jc w:val="both"/>
        <w:outlineLvl w:val="0"/>
      </w:pPr>
    </w:p>
    <w:p w14:paraId="17F0046A" w14:textId="77777777" w:rsidR="000F7B66" w:rsidRDefault="000F7B66">
      <w:pPr>
        <w:tabs>
          <w:tab w:val="center" w:pos="4153"/>
          <w:tab w:val="right" w:pos="8306"/>
        </w:tabs>
        <w:spacing w:line="360" w:lineRule="auto"/>
        <w:ind w:firstLine="902"/>
        <w:jc w:val="both"/>
        <w:rPr>
          <w:szCs w:val="24"/>
          <w:lang w:eastAsia="lt-LT"/>
        </w:rPr>
      </w:pPr>
    </w:p>
    <w:p w14:paraId="6DE62375" w14:textId="77777777" w:rsidR="009330E7" w:rsidRDefault="009330E7" w:rsidP="00D60963">
      <w:pPr>
        <w:rPr>
          <w:szCs w:val="24"/>
          <w:lang w:eastAsia="lt-LT"/>
        </w:rPr>
      </w:pPr>
    </w:p>
    <w:p w14:paraId="30EB2E40" w14:textId="09697243" w:rsidR="00A243A0" w:rsidRPr="007B6DC7" w:rsidRDefault="00D60963" w:rsidP="00644CE6">
      <w:pPr>
        <w:jc w:val="both"/>
        <w:rPr>
          <w:szCs w:val="24"/>
          <w:lang w:eastAsia="lt-LT"/>
        </w:rPr>
      </w:pPr>
      <w:r>
        <w:t>Ekonomikos, finansų ir verslo plėtros komitetas</w:t>
      </w:r>
      <w:r w:rsidR="00C7200C">
        <w:rPr>
          <w:szCs w:val="24"/>
          <w:lang w:eastAsia="lt-LT"/>
        </w:rPr>
        <w:t>, Miesto reikalų komitetas, Kaimo reikalų komitetas</w:t>
      </w:r>
      <w:r w:rsidR="00114E84" w:rsidRPr="007B6DC7">
        <w:rPr>
          <w:szCs w:val="24"/>
          <w:lang w:eastAsia="lt-LT"/>
        </w:rPr>
        <w:t xml:space="preserve"> </w:t>
      </w:r>
      <w:r w:rsidR="00A243A0" w:rsidRPr="007B6DC7">
        <w:rPr>
          <w:szCs w:val="24"/>
          <w:lang w:eastAsia="lt-LT"/>
        </w:rPr>
        <w:br w:type="page"/>
      </w:r>
    </w:p>
    <w:p w14:paraId="2D71FE7E" w14:textId="77777777" w:rsidR="00234381" w:rsidRPr="00082D91" w:rsidRDefault="00234381" w:rsidP="00234381">
      <w:pPr>
        <w:jc w:val="center"/>
        <w:outlineLvl w:val="0"/>
        <w:rPr>
          <w:szCs w:val="24"/>
          <w:lang w:eastAsia="lt-LT"/>
        </w:rPr>
      </w:pPr>
      <w:r w:rsidRPr="00082D91">
        <w:rPr>
          <w:b/>
          <w:szCs w:val="24"/>
          <w:lang w:eastAsia="lt-LT"/>
        </w:rPr>
        <w:lastRenderedPageBreak/>
        <w:t>JONAVOS RAJONO SAVIVALDYBĖS TARYBAI</w:t>
      </w:r>
    </w:p>
    <w:p w14:paraId="093CE60B" w14:textId="77777777" w:rsidR="00234381" w:rsidRPr="00082D91" w:rsidRDefault="00234381" w:rsidP="002E58A5">
      <w:pPr>
        <w:jc w:val="center"/>
        <w:rPr>
          <w:b/>
          <w:szCs w:val="24"/>
          <w:lang w:eastAsia="lt-LT"/>
        </w:rPr>
      </w:pPr>
      <w:r w:rsidRPr="00082D91">
        <w:rPr>
          <w:b/>
          <w:szCs w:val="24"/>
          <w:lang w:eastAsia="lt-LT"/>
        </w:rPr>
        <w:t>AIŠKINAMASIS RAŠTAS</w:t>
      </w:r>
    </w:p>
    <w:p w14:paraId="204B6233" w14:textId="4B4F2AC5" w:rsidR="002E58A5" w:rsidRPr="0012764A" w:rsidRDefault="00234381" w:rsidP="0012764A">
      <w:pPr>
        <w:jc w:val="center"/>
        <w:rPr>
          <w:szCs w:val="24"/>
          <w:lang w:eastAsia="lt-LT"/>
        </w:rPr>
      </w:pPr>
      <w:r w:rsidRPr="00082D91">
        <w:rPr>
          <w:b/>
          <w:szCs w:val="24"/>
          <w:lang w:eastAsia="lt-LT"/>
        </w:rPr>
        <w:t>(</w:t>
      </w:r>
      <w:r w:rsidRPr="00082D91">
        <w:rPr>
          <w:szCs w:val="24"/>
          <w:lang w:eastAsia="lt-LT"/>
        </w:rPr>
        <w:t>prie sprendimo projekto)</w:t>
      </w:r>
    </w:p>
    <w:p w14:paraId="60D68261" w14:textId="1657407C" w:rsidR="00234381" w:rsidRPr="007B6DC7" w:rsidRDefault="00234381" w:rsidP="00234381">
      <w:pPr>
        <w:jc w:val="center"/>
        <w:rPr>
          <w:rFonts w:ascii="Times New Roman Bold" w:hAnsi="Times New Roman Bold"/>
          <w:b/>
          <w:caps/>
          <w:szCs w:val="24"/>
          <w:lang w:eastAsia="lt-LT"/>
        </w:rPr>
      </w:pPr>
      <w:r w:rsidRPr="007B6DC7">
        <w:rPr>
          <w:rFonts w:ascii="Times New Roman Bold" w:hAnsi="Times New Roman Bold"/>
          <w:b/>
          <w:caps/>
          <w:szCs w:val="24"/>
          <w:lang w:eastAsia="lt-LT"/>
        </w:rPr>
        <w:t xml:space="preserve">DĖL </w:t>
      </w:r>
      <w:r w:rsidR="002E58A5">
        <w:rPr>
          <w:rFonts w:ascii="Times New Roman Bold" w:hAnsi="Times New Roman Bold"/>
          <w:b/>
          <w:caps/>
          <w:szCs w:val="24"/>
          <w:lang w:eastAsia="lt-LT"/>
        </w:rPr>
        <w:t xml:space="preserve">PRITARIMO UŽDAROSIOS AKCINĖS BENDROVĖS „JONAVOS </w:t>
      </w:r>
      <w:r w:rsidR="001B6893">
        <w:rPr>
          <w:rFonts w:ascii="Times New Roman Bold" w:hAnsi="Times New Roman Bold"/>
          <w:b/>
          <w:caps/>
          <w:szCs w:val="24"/>
          <w:lang w:eastAsia="lt-LT"/>
        </w:rPr>
        <w:t>AUTOBUSAI</w:t>
      </w:r>
      <w:r w:rsidR="0009724E">
        <w:rPr>
          <w:rFonts w:ascii="Times New Roman Bold" w:hAnsi="Times New Roman Bold"/>
          <w:b/>
          <w:caps/>
          <w:szCs w:val="24"/>
          <w:lang w:eastAsia="lt-LT"/>
        </w:rPr>
        <w:t xml:space="preserve">“ </w:t>
      </w:r>
      <w:r w:rsidR="001B6893">
        <w:rPr>
          <w:rFonts w:ascii="Times New Roman Bold" w:hAnsi="Times New Roman Bold"/>
          <w:b/>
          <w:caps/>
          <w:szCs w:val="24"/>
          <w:lang w:eastAsia="lt-LT"/>
        </w:rPr>
        <w:t>VEIKLOS ATASKAITAI</w:t>
      </w:r>
    </w:p>
    <w:p w14:paraId="69B34178" w14:textId="77777777" w:rsidR="000F7B66" w:rsidRPr="007B6DC7" w:rsidRDefault="000F7B66" w:rsidP="0009724E">
      <w:pPr>
        <w:tabs>
          <w:tab w:val="left" w:pos="851"/>
        </w:tabs>
        <w:rPr>
          <w:szCs w:val="24"/>
          <w:lang w:eastAsia="lt-LT"/>
        </w:rPr>
      </w:pPr>
    </w:p>
    <w:p w14:paraId="1CE378F4" w14:textId="7DBADB27" w:rsidR="000F7B66" w:rsidRPr="007B6DC7" w:rsidRDefault="006E5F9F">
      <w:pPr>
        <w:tabs>
          <w:tab w:val="left" w:pos="851"/>
        </w:tabs>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28033E">
        <w:rPr>
          <w:szCs w:val="24"/>
          <w:lang w:eastAsia="lt-LT"/>
        </w:rPr>
        <w:t>29</w:t>
      </w:r>
      <w:r w:rsidR="008B6F43" w:rsidRPr="007B6DC7">
        <w:rPr>
          <w:szCs w:val="24"/>
          <w:lang w:eastAsia="lt-LT"/>
        </w:rPr>
        <w:t xml:space="preserve"> d.</w:t>
      </w:r>
    </w:p>
    <w:p w14:paraId="5DA3F2BE" w14:textId="77777777" w:rsidR="000F7B66" w:rsidRDefault="003F0234">
      <w:pPr>
        <w:tabs>
          <w:tab w:val="left" w:pos="851"/>
        </w:tabs>
        <w:ind w:left="4820" w:hanging="4820"/>
        <w:jc w:val="center"/>
        <w:rPr>
          <w:bCs/>
          <w:szCs w:val="24"/>
          <w:lang w:eastAsia="lt-LT"/>
        </w:rPr>
      </w:pPr>
      <w:r>
        <w:rPr>
          <w:bCs/>
          <w:szCs w:val="24"/>
          <w:lang w:eastAsia="lt-LT"/>
        </w:rPr>
        <w:t>Jonava</w:t>
      </w:r>
    </w:p>
    <w:p w14:paraId="75A45583" w14:textId="77777777" w:rsidR="003F0234" w:rsidRPr="007B6DC7" w:rsidRDefault="003F0234" w:rsidP="003F0234">
      <w:pPr>
        <w:tabs>
          <w:tab w:val="left" w:pos="851"/>
        </w:tabs>
        <w:ind w:left="4820" w:hanging="4820"/>
        <w:rPr>
          <w:szCs w:val="24"/>
          <w:lang w:eastAsia="lt-LT"/>
        </w:rPr>
      </w:pPr>
    </w:p>
    <w:p w14:paraId="3C717169" w14:textId="77777777" w:rsidR="00502C19" w:rsidRPr="00082D91" w:rsidRDefault="00502C19" w:rsidP="002E58A5">
      <w:pPr>
        <w:pStyle w:val="Sraopastraipa"/>
        <w:numPr>
          <w:ilvl w:val="0"/>
          <w:numId w:val="8"/>
        </w:numPr>
        <w:overflowPunct w:val="0"/>
        <w:autoSpaceDE w:val="0"/>
        <w:autoSpaceDN w:val="0"/>
        <w:adjustRightInd w:val="0"/>
        <w:jc w:val="both"/>
        <w:outlineLvl w:val="5"/>
        <w:rPr>
          <w:rFonts w:eastAsia="Calibri"/>
          <w:b/>
          <w:szCs w:val="24"/>
          <w:lang w:eastAsia="lt-LT"/>
        </w:rPr>
      </w:pPr>
      <w:r w:rsidRPr="00082D91">
        <w:rPr>
          <w:rFonts w:eastAsia="Calibri"/>
          <w:b/>
          <w:szCs w:val="24"/>
          <w:lang w:eastAsia="lt-LT"/>
        </w:rPr>
        <w:t>Sprendimo projekto tikslai ir uždaviniai</w:t>
      </w:r>
      <w:r>
        <w:rPr>
          <w:rFonts w:eastAsia="Calibri"/>
          <w:b/>
          <w:szCs w:val="24"/>
          <w:lang w:eastAsia="lt-LT"/>
        </w:rPr>
        <w:t xml:space="preserve">, kiti sprendimui priimti reikalingi pagrindimai. </w:t>
      </w:r>
    </w:p>
    <w:p w14:paraId="6AEAF5B4" w14:textId="3A03BA02" w:rsidR="002E58A5" w:rsidRDefault="002E58A5" w:rsidP="002E58A5">
      <w:pPr>
        <w:ind w:firstLine="709"/>
        <w:jc w:val="both"/>
        <w:rPr>
          <w:szCs w:val="24"/>
        </w:rPr>
      </w:pPr>
      <w:r w:rsidRPr="002E58A5">
        <w:rPr>
          <w:szCs w:val="24"/>
        </w:rPr>
        <w:t>Vadovaujantis Lietuvos Respublikos vietos savivaldos įstatymo 16 straipsnio 2 dalies 19 punkte įforminta nuostata, savivaldybės tar</w:t>
      </w:r>
      <w:r w:rsidR="00B9009E">
        <w:rPr>
          <w:szCs w:val="24"/>
        </w:rPr>
        <w:t xml:space="preserve">yba išklausiusi bendrovės </w:t>
      </w:r>
      <w:r w:rsidR="00B96E1B">
        <w:rPr>
          <w:szCs w:val="24"/>
        </w:rPr>
        <w:t>veiklos ataskaitą</w:t>
      </w:r>
      <w:r w:rsidRPr="002E58A5">
        <w:rPr>
          <w:szCs w:val="24"/>
        </w:rPr>
        <w:t xml:space="preserve"> bei atsakymus į tarybos narių paklausimus, priima sprendimą dėl bendrovės </w:t>
      </w:r>
      <w:r w:rsidR="00B96E1B">
        <w:rPr>
          <w:szCs w:val="24"/>
        </w:rPr>
        <w:t>veiklos ataskaitos</w:t>
      </w:r>
      <w:r w:rsidRPr="002E58A5">
        <w:rPr>
          <w:szCs w:val="24"/>
        </w:rPr>
        <w:t>. Šiuo sprendimo projektu siūloma</w:t>
      </w:r>
      <w:r w:rsidR="00B9009E">
        <w:rPr>
          <w:szCs w:val="24"/>
        </w:rPr>
        <w:t xml:space="preserve"> pritarti U</w:t>
      </w:r>
      <w:r w:rsidR="00B96E1B">
        <w:rPr>
          <w:szCs w:val="24"/>
        </w:rPr>
        <w:t>AB „Jonavos autobusai</w:t>
      </w:r>
      <w:r w:rsidR="0009724E">
        <w:rPr>
          <w:szCs w:val="24"/>
        </w:rPr>
        <w:t>“ 2020</w:t>
      </w:r>
      <w:r w:rsidRPr="002E58A5">
        <w:rPr>
          <w:szCs w:val="24"/>
        </w:rPr>
        <w:t xml:space="preserve"> m. </w:t>
      </w:r>
      <w:r w:rsidR="00B96E1B">
        <w:rPr>
          <w:szCs w:val="24"/>
        </w:rPr>
        <w:t>veiklos ataskaitai</w:t>
      </w:r>
      <w:r w:rsidRPr="002E58A5">
        <w:rPr>
          <w:szCs w:val="24"/>
        </w:rPr>
        <w:t>.</w:t>
      </w:r>
    </w:p>
    <w:p w14:paraId="52E0FCB1" w14:textId="73B5BC66" w:rsidR="002E58A5" w:rsidRDefault="002E58A5" w:rsidP="0009724E">
      <w:pPr>
        <w:ind w:firstLine="709"/>
        <w:jc w:val="both"/>
      </w:pPr>
      <w:r w:rsidRPr="002E58A5">
        <w:rPr>
          <w:szCs w:val="24"/>
        </w:rPr>
        <w:t>Užtikrindamas savivaldybės kaip akcininkės neturtinių teisių įgyvendinimą, savivaldybės administracijos direktorius priims raštišką spre</w:t>
      </w:r>
      <w:r w:rsidR="00B96E1B">
        <w:rPr>
          <w:szCs w:val="24"/>
        </w:rPr>
        <w:t>ndimą dėl UAB „Jonavos autobusai</w:t>
      </w:r>
      <w:r w:rsidR="0009724E">
        <w:rPr>
          <w:szCs w:val="24"/>
        </w:rPr>
        <w:t>“ 2020</w:t>
      </w:r>
      <w:r w:rsidRPr="002E58A5">
        <w:rPr>
          <w:szCs w:val="24"/>
        </w:rPr>
        <w:t xml:space="preserve"> m. finansinių ataskaitų rinkinio (Lietuvos Respublikos Vyriausybės 2007 m. birželio 6 d. nutarimu Nr. 567 patvirtinto Savivaldybių turtinių ir neturtinių teisių </w:t>
      </w:r>
      <w:r w:rsidRPr="00F04079">
        <w:rPr>
          <w:szCs w:val="24"/>
        </w:rPr>
        <w:t>įgyvendinimo savivaldybių valdomose įmonėse tvarkos aprašo 10 punkto 10.1 papunktis).</w:t>
      </w:r>
    </w:p>
    <w:p w14:paraId="1C4AE759" w14:textId="6D7D67CE" w:rsidR="002E58A5" w:rsidRDefault="002E58A5" w:rsidP="0009724E">
      <w:pPr>
        <w:ind w:firstLine="709"/>
        <w:jc w:val="both"/>
      </w:pPr>
      <w:r>
        <w:t xml:space="preserve">Finansinių metų </w:t>
      </w:r>
      <w:r w:rsidR="00B96E1B">
        <w:t>pabaigoje UAB „Jonavos autobusai</w:t>
      </w:r>
      <w:r>
        <w:t xml:space="preserve">“ įstatinis kapitalas sudarė </w:t>
      </w:r>
      <w:r w:rsidR="00B96E1B">
        <w:t>1029,9</w:t>
      </w:r>
      <w:r w:rsidR="009654CB">
        <w:t xml:space="preserve"> tūkst.</w:t>
      </w:r>
      <w:r w:rsidR="0009724E">
        <w:t xml:space="preserve"> Eur</w:t>
      </w:r>
      <w:r>
        <w:t xml:space="preserve">, įstatinis kapitalas padalintas į </w:t>
      </w:r>
      <w:r w:rsidR="00B96E1B">
        <w:t>1029886</w:t>
      </w:r>
      <w:r>
        <w:t xml:space="preserve"> </w:t>
      </w:r>
      <w:r w:rsidR="0009724E">
        <w:t xml:space="preserve">paprastąsias vardines </w:t>
      </w:r>
      <w:r>
        <w:t>akcijas. Vienos akcijos nominali vertė –</w:t>
      </w:r>
      <w:r w:rsidR="009654CB">
        <w:t xml:space="preserve"> 1</w:t>
      </w:r>
      <w:r w:rsidR="0009724E">
        <w:t xml:space="preserve"> Eur</w:t>
      </w:r>
      <w:r>
        <w:t xml:space="preserve">. </w:t>
      </w:r>
      <w:r w:rsidR="00B96E1B">
        <w:t xml:space="preserve">Bendrovės įstatinis kapitalas ataskaitiniu laikotarpiu nesikeitė. </w:t>
      </w:r>
      <w:r w:rsidR="009654CB">
        <w:t xml:space="preserve">Visas bendrovės akcijas valdo Jonavos rajono savivaldybės taryba. </w:t>
      </w:r>
    </w:p>
    <w:p w14:paraId="0099FB08" w14:textId="5E8E761C" w:rsidR="002E58A5" w:rsidRPr="00B96E1B" w:rsidRDefault="009654CB" w:rsidP="0009724E">
      <w:pPr>
        <w:ind w:firstLine="709"/>
        <w:jc w:val="both"/>
      </w:pPr>
      <w:r w:rsidRPr="009654CB">
        <w:rPr>
          <w:b/>
          <w:i/>
        </w:rPr>
        <w:t>Bendrovės 2020 m. veiklos apžvalga.</w:t>
      </w:r>
      <w:r>
        <w:t xml:space="preserve">  </w:t>
      </w:r>
      <w:r w:rsidR="002E58A5">
        <w:t>P</w:t>
      </w:r>
      <w:r>
        <w:t>a</w:t>
      </w:r>
      <w:r w:rsidR="00B96E1B">
        <w:t>grindinės UAB „Jonavos autobusai</w:t>
      </w:r>
      <w:r w:rsidR="002E58A5">
        <w:t xml:space="preserve">“ </w:t>
      </w:r>
      <w:r>
        <w:t xml:space="preserve">veiklos sritys </w:t>
      </w:r>
      <w:r w:rsidR="002E15ED">
        <w:t>‒</w:t>
      </w:r>
      <w:r>
        <w:t xml:space="preserve"> </w:t>
      </w:r>
      <w:r w:rsidR="00B96E1B" w:rsidRPr="00B96E1B">
        <w:t>keleivių ir bagažo pervežimas vietinio (miesto ir priemiestinio) reguliaraus susisiekimo maršrutais, autobusų stoties naudojimas ir jos darbo tvarkos užtikrinimas pagal nustatytus Autobusų stočių veiklos nuostatus</w:t>
      </w:r>
      <w:r w:rsidR="00B96E1B">
        <w:t>.</w:t>
      </w:r>
    </w:p>
    <w:p w14:paraId="62BF2BCC" w14:textId="5454C312" w:rsidR="00FB6E44" w:rsidRDefault="00B96E1B" w:rsidP="009F483B">
      <w:pPr>
        <w:rPr>
          <w:szCs w:val="24"/>
        </w:rPr>
      </w:pPr>
      <w:r>
        <w:rPr>
          <w:szCs w:val="24"/>
        </w:rPr>
        <w:t>Pagrindiniai bendrovės 2018 – 2020 m. ūkiniai ir finansiniai rodikliai: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850"/>
        <w:gridCol w:w="851"/>
        <w:gridCol w:w="845"/>
        <w:gridCol w:w="1564"/>
      </w:tblGrid>
      <w:tr w:rsidR="00B96E1B" w:rsidRPr="00B96E1B" w14:paraId="34E544D1" w14:textId="430626BF" w:rsidTr="001260B8">
        <w:trPr>
          <w:trHeight w:val="278"/>
          <w:jc w:val="center"/>
        </w:trPr>
        <w:tc>
          <w:tcPr>
            <w:tcW w:w="5813" w:type="dxa"/>
            <w:shd w:val="clear" w:color="auto" w:fill="DBE5F1"/>
          </w:tcPr>
          <w:p w14:paraId="659C8F80" w14:textId="77777777" w:rsidR="00B96E1B" w:rsidRPr="00B96E1B" w:rsidRDefault="00B96E1B" w:rsidP="00B96E1B">
            <w:pPr>
              <w:rPr>
                <w:bCs/>
                <w:sz w:val="20"/>
              </w:rPr>
            </w:pPr>
            <w:r w:rsidRPr="00B96E1B">
              <w:rPr>
                <w:bCs/>
                <w:sz w:val="20"/>
              </w:rPr>
              <w:t>TURTO IR NUOSAVO KAPITALO POKYČIAI</w:t>
            </w:r>
          </w:p>
        </w:tc>
        <w:tc>
          <w:tcPr>
            <w:tcW w:w="850" w:type="dxa"/>
            <w:shd w:val="clear" w:color="auto" w:fill="DBE5F1"/>
          </w:tcPr>
          <w:p w14:paraId="4239FE7C" w14:textId="77777777" w:rsidR="00B96E1B" w:rsidRPr="00B96E1B" w:rsidRDefault="00B96E1B" w:rsidP="00B96E1B">
            <w:pPr>
              <w:jc w:val="center"/>
              <w:rPr>
                <w:bCs/>
                <w:sz w:val="20"/>
              </w:rPr>
            </w:pPr>
            <w:r w:rsidRPr="00B96E1B">
              <w:rPr>
                <w:bCs/>
                <w:sz w:val="20"/>
              </w:rPr>
              <w:t>2020</w:t>
            </w:r>
            <w:r w:rsidRPr="00B96E1B">
              <w:rPr>
                <w:bCs/>
                <w:color w:val="FFFFFF"/>
                <w:sz w:val="20"/>
              </w:rPr>
              <w:t xml:space="preserve"> </w:t>
            </w:r>
            <w:r w:rsidRPr="00B96E1B">
              <w:rPr>
                <w:bCs/>
                <w:sz w:val="20"/>
              </w:rPr>
              <w:t>m.</w:t>
            </w:r>
          </w:p>
        </w:tc>
        <w:tc>
          <w:tcPr>
            <w:tcW w:w="851" w:type="dxa"/>
            <w:shd w:val="clear" w:color="auto" w:fill="DBE5F1"/>
          </w:tcPr>
          <w:p w14:paraId="45E4C4D8" w14:textId="77777777" w:rsidR="00B96E1B" w:rsidRPr="00B96E1B" w:rsidRDefault="00B96E1B" w:rsidP="00B96E1B">
            <w:pPr>
              <w:jc w:val="center"/>
              <w:rPr>
                <w:bCs/>
                <w:sz w:val="20"/>
              </w:rPr>
            </w:pPr>
            <w:r w:rsidRPr="00B96E1B">
              <w:rPr>
                <w:bCs/>
                <w:sz w:val="20"/>
              </w:rPr>
              <w:t>2019 m.</w:t>
            </w:r>
          </w:p>
        </w:tc>
        <w:tc>
          <w:tcPr>
            <w:tcW w:w="845" w:type="dxa"/>
            <w:shd w:val="clear" w:color="auto" w:fill="DBE5F1"/>
          </w:tcPr>
          <w:p w14:paraId="74607E96" w14:textId="77777777" w:rsidR="00B96E1B" w:rsidRPr="00B96E1B" w:rsidRDefault="00B96E1B" w:rsidP="00B96E1B">
            <w:pPr>
              <w:jc w:val="center"/>
              <w:rPr>
                <w:bCs/>
                <w:sz w:val="20"/>
              </w:rPr>
            </w:pPr>
            <w:r w:rsidRPr="00B96E1B">
              <w:rPr>
                <w:bCs/>
                <w:sz w:val="20"/>
              </w:rPr>
              <w:t>2018 m.</w:t>
            </w:r>
          </w:p>
        </w:tc>
        <w:tc>
          <w:tcPr>
            <w:tcW w:w="1564" w:type="dxa"/>
            <w:shd w:val="clear" w:color="auto" w:fill="DBE5F1"/>
          </w:tcPr>
          <w:p w14:paraId="5E0934F1" w14:textId="35424607" w:rsidR="00B96E1B" w:rsidRPr="00B96E1B" w:rsidRDefault="0076283F" w:rsidP="00B96E1B">
            <w:pPr>
              <w:jc w:val="center"/>
              <w:rPr>
                <w:bCs/>
                <w:sz w:val="20"/>
              </w:rPr>
            </w:pPr>
            <w:r>
              <w:rPr>
                <w:bCs/>
                <w:sz w:val="20"/>
              </w:rPr>
              <w:t>Pokytis (proc.) 2020/2019 m.</w:t>
            </w:r>
          </w:p>
        </w:tc>
      </w:tr>
      <w:tr w:rsidR="00B96E1B" w:rsidRPr="00B96E1B" w14:paraId="7751A062" w14:textId="2240ED4D" w:rsidTr="001260B8">
        <w:trPr>
          <w:trHeight w:val="278"/>
          <w:jc w:val="center"/>
        </w:trPr>
        <w:tc>
          <w:tcPr>
            <w:tcW w:w="5813" w:type="dxa"/>
            <w:shd w:val="clear" w:color="auto" w:fill="auto"/>
          </w:tcPr>
          <w:p w14:paraId="5A8DD75F" w14:textId="77777777" w:rsidR="00B96E1B" w:rsidRPr="00B96E1B" w:rsidRDefault="00B96E1B" w:rsidP="00B96E1B">
            <w:pPr>
              <w:jc w:val="both"/>
              <w:rPr>
                <w:bCs/>
                <w:sz w:val="20"/>
              </w:rPr>
            </w:pPr>
            <w:r w:rsidRPr="00B96E1B">
              <w:rPr>
                <w:bCs/>
                <w:sz w:val="20"/>
              </w:rPr>
              <w:t xml:space="preserve">Turtas (tūkst. Eur) </w:t>
            </w:r>
          </w:p>
        </w:tc>
        <w:tc>
          <w:tcPr>
            <w:tcW w:w="850" w:type="dxa"/>
            <w:shd w:val="clear" w:color="auto" w:fill="auto"/>
          </w:tcPr>
          <w:p w14:paraId="0E8C425D" w14:textId="1F9DC72C" w:rsidR="00B96E1B" w:rsidRPr="00B96E1B" w:rsidRDefault="00B96E1B" w:rsidP="0076283F">
            <w:pPr>
              <w:jc w:val="right"/>
              <w:rPr>
                <w:bCs/>
                <w:sz w:val="20"/>
              </w:rPr>
            </w:pPr>
            <w:r w:rsidRPr="00B96E1B">
              <w:rPr>
                <w:bCs/>
                <w:sz w:val="20"/>
              </w:rPr>
              <w:t>2 102,2</w:t>
            </w:r>
          </w:p>
        </w:tc>
        <w:tc>
          <w:tcPr>
            <w:tcW w:w="851" w:type="dxa"/>
            <w:shd w:val="clear" w:color="auto" w:fill="auto"/>
          </w:tcPr>
          <w:p w14:paraId="35DA9E03" w14:textId="02EEA8BF" w:rsidR="00B96E1B" w:rsidRPr="00B96E1B" w:rsidRDefault="00B96E1B" w:rsidP="0076283F">
            <w:pPr>
              <w:jc w:val="right"/>
              <w:rPr>
                <w:bCs/>
                <w:sz w:val="20"/>
              </w:rPr>
            </w:pPr>
            <w:r w:rsidRPr="00B96E1B">
              <w:rPr>
                <w:bCs/>
                <w:sz w:val="20"/>
              </w:rPr>
              <w:t>1 912,2</w:t>
            </w:r>
          </w:p>
        </w:tc>
        <w:tc>
          <w:tcPr>
            <w:tcW w:w="845" w:type="dxa"/>
            <w:shd w:val="clear" w:color="auto" w:fill="auto"/>
          </w:tcPr>
          <w:p w14:paraId="1EECA3B9" w14:textId="18CC5EFC" w:rsidR="00B96E1B" w:rsidRPr="00B96E1B" w:rsidRDefault="00B96E1B" w:rsidP="0076283F">
            <w:pPr>
              <w:jc w:val="right"/>
              <w:rPr>
                <w:bCs/>
                <w:sz w:val="20"/>
              </w:rPr>
            </w:pPr>
            <w:r w:rsidRPr="00B96E1B">
              <w:rPr>
                <w:bCs/>
                <w:sz w:val="20"/>
              </w:rPr>
              <w:t>1 804,2</w:t>
            </w:r>
          </w:p>
        </w:tc>
        <w:tc>
          <w:tcPr>
            <w:tcW w:w="1564" w:type="dxa"/>
          </w:tcPr>
          <w:p w14:paraId="2FDC5E18" w14:textId="36D21A28" w:rsidR="00B96E1B" w:rsidRPr="00B96E1B" w:rsidRDefault="0076283F" w:rsidP="0076283F">
            <w:pPr>
              <w:jc w:val="right"/>
              <w:rPr>
                <w:bCs/>
                <w:sz w:val="20"/>
              </w:rPr>
            </w:pPr>
            <w:r>
              <w:rPr>
                <w:bCs/>
                <w:sz w:val="20"/>
              </w:rPr>
              <w:t>9,9</w:t>
            </w:r>
          </w:p>
        </w:tc>
      </w:tr>
      <w:tr w:rsidR="00B96E1B" w:rsidRPr="00B96E1B" w14:paraId="0D1C229E" w14:textId="34127E42" w:rsidTr="001260B8">
        <w:trPr>
          <w:trHeight w:val="278"/>
          <w:jc w:val="center"/>
        </w:trPr>
        <w:tc>
          <w:tcPr>
            <w:tcW w:w="5813" w:type="dxa"/>
            <w:shd w:val="clear" w:color="auto" w:fill="auto"/>
          </w:tcPr>
          <w:p w14:paraId="1182C7F1" w14:textId="77777777" w:rsidR="00B96E1B" w:rsidRPr="00B96E1B" w:rsidRDefault="00B96E1B" w:rsidP="00B96E1B">
            <w:pPr>
              <w:jc w:val="both"/>
              <w:rPr>
                <w:bCs/>
                <w:sz w:val="20"/>
              </w:rPr>
            </w:pPr>
            <w:r w:rsidRPr="00B96E1B">
              <w:rPr>
                <w:bCs/>
                <w:sz w:val="20"/>
              </w:rPr>
              <w:t>Nuosavas kapitalas (tūkst. Eur)</w:t>
            </w:r>
          </w:p>
        </w:tc>
        <w:tc>
          <w:tcPr>
            <w:tcW w:w="850" w:type="dxa"/>
            <w:shd w:val="clear" w:color="auto" w:fill="auto"/>
          </w:tcPr>
          <w:p w14:paraId="613D113C" w14:textId="77777777" w:rsidR="00B96E1B" w:rsidRPr="00B96E1B" w:rsidRDefault="00B96E1B" w:rsidP="0076283F">
            <w:pPr>
              <w:jc w:val="right"/>
              <w:rPr>
                <w:sz w:val="20"/>
              </w:rPr>
            </w:pPr>
            <w:r w:rsidRPr="00B96E1B">
              <w:rPr>
                <w:sz w:val="20"/>
              </w:rPr>
              <w:t>1 107,6</w:t>
            </w:r>
          </w:p>
        </w:tc>
        <w:tc>
          <w:tcPr>
            <w:tcW w:w="851" w:type="dxa"/>
            <w:shd w:val="clear" w:color="auto" w:fill="auto"/>
          </w:tcPr>
          <w:p w14:paraId="7ECB1CD6" w14:textId="77777777" w:rsidR="00B96E1B" w:rsidRPr="00B96E1B" w:rsidRDefault="00B96E1B" w:rsidP="0076283F">
            <w:pPr>
              <w:jc w:val="right"/>
              <w:rPr>
                <w:sz w:val="20"/>
              </w:rPr>
            </w:pPr>
            <w:r w:rsidRPr="00B96E1B">
              <w:rPr>
                <w:sz w:val="20"/>
              </w:rPr>
              <w:t>1 084,0</w:t>
            </w:r>
          </w:p>
        </w:tc>
        <w:tc>
          <w:tcPr>
            <w:tcW w:w="845" w:type="dxa"/>
            <w:shd w:val="clear" w:color="auto" w:fill="auto"/>
          </w:tcPr>
          <w:p w14:paraId="511E291D" w14:textId="77777777" w:rsidR="00B96E1B" w:rsidRPr="00B96E1B" w:rsidRDefault="00B96E1B" w:rsidP="0076283F">
            <w:pPr>
              <w:jc w:val="right"/>
              <w:rPr>
                <w:sz w:val="20"/>
              </w:rPr>
            </w:pPr>
            <w:r w:rsidRPr="00B96E1B">
              <w:rPr>
                <w:sz w:val="20"/>
              </w:rPr>
              <w:t>1 064,4</w:t>
            </w:r>
          </w:p>
        </w:tc>
        <w:tc>
          <w:tcPr>
            <w:tcW w:w="1564" w:type="dxa"/>
          </w:tcPr>
          <w:p w14:paraId="44828504" w14:textId="4A8537AF" w:rsidR="00B96E1B" w:rsidRPr="00B96E1B" w:rsidRDefault="0076283F" w:rsidP="0076283F">
            <w:pPr>
              <w:jc w:val="right"/>
              <w:rPr>
                <w:sz w:val="20"/>
              </w:rPr>
            </w:pPr>
            <w:r>
              <w:rPr>
                <w:sz w:val="20"/>
              </w:rPr>
              <w:t>2,2</w:t>
            </w:r>
          </w:p>
        </w:tc>
      </w:tr>
      <w:tr w:rsidR="00B96E1B" w:rsidRPr="00B96E1B" w14:paraId="50B34CD8" w14:textId="5E35B887" w:rsidTr="001260B8">
        <w:trPr>
          <w:trHeight w:val="278"/>
          <w:jc w:val="center"/>
        </w:trPr>
        <w:tc>
          <w:tcPr>
            <w:tcW w:w="5813" w:type="dxa"/>
            <w:shd w:val="clear" w:color="auto" w:fill="DBE5F1"/>
          </w:tcPr>
          <w:p w14:paraId="0B68BC27" w14:textId="77777777" w:rsidR="00B96E1B" w:rsidRPr="00B96E1B" w:rsidRDefault="00B96E1B" w:rsidP="00B96E1B">
            <w:pPr>
              <w:jc w:val="both"/>
              <w:rPr>
                <w:bCs/>
                <w:sz w:val="20"/>
              </w:rPr>
            </w:pPr>
            <w:r w:rsidRPr="00B96E1B">
              <w:rPr>
                <w:bCs/>
                <w:sz w:val="20"/>
              </w:rPr>
              <w:t>PELNO (NUOSTOLIO) ATASKAITA</w:t>
            </w:r>
          </w:p>
        </w:tc>
        <w:tc>
          <w:tcPr>
            <w:tcW w:w="850" w:type="dxa"/>
            <w:shd w:val="clear" w:color="auto" w:fill="DBE5F1"/>
          </w:tcPr>
          <w:p w14:paraId="4C06D2D9" w14:textId="77777777" w:rsidR="00B96E1B" w:rsidRPr="00B96E1B" w:rsidRDefault="00B96E1B" w:rsidP="0076283F">
            <w:pPr>
              <w:jc w:val="right"/>
              <w:rPr>
                <w:sz w:val="20"/>
              </w:rPr>
            </w:pPr>
          </w:p>
        </w:tc>
        <w:tc>
          <w:tcPr>
            <w:tcW w:w="851" w:type="dxa"/>
            <w:shd w:val="clear" w:color="auto" w:fill="DBE5F1"/>
          </w:tcPr>
          <w:p w14:paraId="3CD3AEE4" w14:textId="77777777" w:rsidR="00B96E1B" w:rsidRPr="00B96E1B" w:rsidRDefault="00B96E1B" w:rsidP="0076283F">
            <w:pPr>
              <w:jc w:val="right"/>
              <w:rPr>
                <w:sz w:val="20"/>
              </w:rPr>
            </w:pPr>
          </w:p>
        </w:tc>
        <w:tc>
          <w:tcPr>
            <w:tcW w:w="845" w:type="dxa"/>
            <w:shd w:val="clear" w:color="auto" w:fill="DBE5F1"/>
          </w:tcPr>
          <w:p w14:paraId="1FE9356D" w14:textId="77777777" w:rsidR="00B96E1B" w:rsidRPr="00B96E1B" w:rsidRDefault="00B96E1B" w:rsidP="0076283F">
            <w:pPr>
              <w:jc w:val="right"/>
              <w:rPr>
                <w:sz w:val="20"/>
              </w:rPr>
            </w:pPr>
          </w:p>
        </w:tc>
        <w:tc>
          <w:tcPr>
            <w:tcW w:w="1564" w:type="dxa"/>
            <w:shd w:val="clear" w:color="auto" w:fill="DBE5F1"/>
          </w:tcPr>
          <w:p w14:paraId="4DF4F739" w14:textId="77777777" w:rsidR="00B96E1B" w:rsidRPr="00B96E1B" w:rsidRDefault="00B96E1B" w:rsidP="0076283F">
            <w:pPr>
              <w:jc w:val="right"/>
              <w:rPr>
                <w:sz w:val="20"/>
              </w:rPr>
            </w:pPr>
          </w:p>
        </w:tc>
      </w:tr>
      <w:tr w:rsidR="00B96E1B" w:rsidRPr="00B96E1B" w14:paraId="606F2822" w14:textId="49BD19ED" w:rsidTr="001260B8">
        <w:trPr>
          <w:trHeight w:val="278"/>
          <w:jc w:val="center"/>
        </w:trPr>
        <w:tc>
          <w:tcPr>
            <w:tcW w:w="5813" w:type="dxa"/>
            <w:shd w:val="clear" w:color="auto" w:fill="auto"/>
          </w:tcPr>
          <w:p w14:paraId="0997E7CB" w14:textId="77777777" w:rsidR="00B96E1B" w:rsidRPr="00B96E1B" w:rsidRDefault="00B96E1B" w:rsidP="00B96E1B">
            <w:pPr>
              <w:jc w:val="both"/>
              <w:rPr>
                <w:bCs/>
                <w:sz w:val="20"/>
              </w:rPr>
            </w:pPr>
            <w:r w:rsidRPr="00B96E1B">
              <w:rPr>
                <w:bCs/>
                <w:sz w:val="20"/>
              </w:rPr>
              <w:t>Pajamos iš viso (tūkst. Eur)</w:t>
            </w:r>
          </w:p>
        </w:tc>
        <w:tc>
          <w:tcPr>
            <w:tcW w:w="850" w:type="dxa"/>
            <w:shd w:val="clear" w:color="auto" w:fill="auto"/>
          </w:tcPr>
          <w:p w14:paraId="23A40AC0" w14:textId="77777777" w:rsidR="00B96E1B" w:rsidRPr="00B96E1B" w:rsidRDefault="00B96E1B" w:rsidP="0076283F">
            <w:pPr>
              <w:jc w:val="right"/>
              <w:rPr>
                <w:sz w:val="20"/>
              </w:rPr>
            </w:pPr>
            <w:r w:rsidRPr="00B96E1B">
              <w:rPr>
                <w:sz w:val="20"/>
              </w:rPr>
              <w:t>2 083,9</w:t>
            </w:r>
          </w:p>
        </w:tc>
        <w:tc>
          <w:tcPr>
            <w:tcW w:w="851" w:type="dxa"/>
            <w:shd w:val="clear" w:color="auto" w:fill="auto"/>
          </w:tcPr>
          <w:p w14:paraId="673D1D79" w14:textId="77777777" w:rsidR="00B96E1B" w:rsidRPr="00B96E1B" w:rsidRDefault="00B96E1B" w:rsidP="0076283F">
            <w:pPr>
              <w:jc w:val="right"/>
              <w:rPr>
                <w:sz w:val="20"/>
              </w:rPr>
            </w:pPr>
            <w:r w:rsidRPr="00B96E1B">
              <w:rPr>
                <w:sz w:val="20"/>
              </w:rPr>
              <w:t>2 083,9</w:t>
            </w:r>
          </w:p>
        </w:tc>
        <w:tc>
          <w:tcPr>
            <w:tcW w:w="845" w:type="dxa"/>
            <w:shd w:val="clear" w:color="auto" w:fill="auto"/>
          </w:tcPr>
          <w:p w14:paraId="2EA08DDD" w14:textId="77777777" w:rsidR="00B96E1B" w:rsidRPr="00B96E1B" w:rsidRDefault="00B96E1B" w:rsidP="0076283F">
            <w:pPr>
              <w:jc w:val="right"/>
              <w:rPr>
                <w:sz w:val="20"/>
              </w:rPr>
            </w:pPr>
            <w:r w:rsidRPr="00B96E1B">
              <w:rPr>
                <w:sz w:val="20"/>
              </w:rPr>
              <w:t>2 177,1</w:t>
            </w:r>
          </w:p>
        </w:tc>
        <w:tc>
          <w:tcPr>
            <w:tcW w:w="1564" w:type="dxa"/>
          </w:tcPr>
          <w:p w14:paraId="7698793A" w14:textId="73B616CD" w:rsidR="00B96E1B" w:rsidRPr="00B96E1B" w:rsidRDefault="0076283F" w:rsidP="0076283F">
            <w:pPr>
              <w:jc w:val="right"/>
              <w:rPr>
                <w:sz w:val="20"/>
              </w:rPr>
            </w:pPr>
            <w:r>
              <w:rPr>
                <w:sz w:val="20"/>
              </w:rPr>
              <w:t>0,0</w:t>
            </w:r>
          </w:p>
        </w:tc>
      </w:tr>
      <w:tr w:rsidR="00B96E1B" w:rsidRPr="00B96E1B" w14:paraId="603092DB" w14:textId="526FA7FF" w:rsidTr="001260B8">
        <w:trPr>
          <w:trHeight w:val="278"/>
          <w:jc w:val="center"/>
        </w:trPr>
        <w:tc>
          <w:tcPr>
            <w:tcW w:w="5813" w:type="dxa"/>
            <w:shd w:val="clear" w:color="auto" w:fill="auto"/>
          </w:tcPr>
          <w:p w14:paraId="236379D1" w14:textId="77777777" w:rsidR="00B96E1B" w:rsidRPr="00B96E1B" w:rsidRDefault="00B96E1B" w:rsidP="00B96E1B">
            <w:pPr>
              <w:jc w:val="both"/>
              <w:rPr>
                <w:bCs/>
                <w:sz w:val="20"/>
              </w:rPr>
            </w:pPr>
            <w:r w:rsidRPr="00B96E1B">
              <w:rPr>
                <w:bCs/>
                <w:sz w:val="20"/>
              </w:rPr>
              <w:t>Pagrindinės veiklos (pardavimų) pajamos (tūkst. Eur)</w:t>
            </w:r>
          </w:p>
        </w:tc>
        <w:tc>
          <w:tcPr>
            <w:tcW w:w="850" w:type="dxa"/>
            <w:shd w:val="clear" w:color="auto" w:fill="auto"/>
          </w:tcPr>
          <w:p w14:paraId="3A451C1F" w14:textId="77777777" w:rsidR="00B96E1B" w:rsidRPr="00B96E1B" w:rsidRDefault="00B96E1B" w:rsidP="0076283F">
            <w:pPr>
              <w:jc w:val="right"/>
              <w:rPr>
                <w:sz w:val="20"/>
              </w:rPr>
            </w:pPr>
            <w:r w:rsidRPr="00B96E1B">
              <w:rPr>
                <w:sz w:val="20"/>
              </w:rPr>
              <w:t>2 080,6</w:t>
            </w:r>
          </w:p>
        </w:tc>
        <w:tc>
          <w:tcPr>
            <w:tcW w:w="851" w:type="dxa"/>
            <w:shd w:val="clear" w:color="auto" w:fill="auto"/>
          </w:tcPr>
          <w:p w14:paraId="085498E6" w14:textId="77777777" w:rsidR="00B96E1B" w:rsidRPr="00B96E1B" w:rsidRDefault="00B96E1B" w:rsidP="0076283F">
            <w:pPr>
              <w:jc w:val="right"/>
              <w:rPr>
                <w:sz w:val="20"/>
              </w:rPr>
            </w:pPr>
            <w:r w:rsidRPr="00B96E1B">
              <w:rPr>
                <w:sz w:val="20"/>
              </w:rPr>
              <w:t>2 289,1</w:t>
            </w:r>
          </w:p>
        </w:tc>
        <w:tc>
          <w:tcPr>
            <w:tcW w:w="845" w:type="dxa"/>
            <w:shd w:val="clear" w:color="auto" w:fill="auto"/>
          </w:tcPr>
          <w:p w14:paraId="307A558B" w14:textId="77777777" w:rsidR="00B96E1B" w:rsidRPr="00B96E1B" w:rsidRDefault="00B96E1B" w:rsidP="0076283F">
            <w:pPr>
              <w:jc w:val="right"/>
              <w:rPr>
                <w:sz w:val="20"/>
              </w:rPr>
            </w:pPr>
            <w:r w:rsidRPr="00B96E1B">
              <w:rPr>
                <w:sz w:val="20"/>
              </w:rPr>
              <w:t>2 174,0</w:t>
            </w:r>
          </w:p>
        </w:tc>
        <w:tc>
          <w:tcPr>
            <w:tcW w:w="1564" w:type="dxa"/>
          </w:tcPr>
          <w:p w14:paraId="208CBA47" w14:textId="2B95BBB2" w:rsidR="00B96E1B" w:rsidRPr="00B96E1B" w:rsidRDefault="0076283F" w:rsidP="0076283F">
            <w:pPr>
              <w:jc w:val="right"/>
              <w:rPr>
                <w:sz w:val="20"/>
              </w:rPr>
            </w:pPr>
            <w:r>
              <w:rPr>
                <w:sz w:val="20"/>
              </w:rPr>
              <w:t>-9,1</w:t>
            </w:r>
          </w:p>
        </w:tc>
      </w:tr>
      <w:tr w:rsidR="00B96E1B" w:rsidRPr="00B96E1B" w14:paraId="20CE1860" w14:textId="51D30B10" w:rsidTr="001260B8">
        <w:trPr>
          <w:trHeight w:val="278"/>
          <w:jc w:val="center"/>
        </w:trPr>
        <w:tc>
          <w:tcPr>
            <w:tcW w:w="5813" w:type="dxa"/>
            <w:shd w:val="clear" w:color="auto" w:fill="auto"/>
          </w:tcPr>
          <w:p w14:paraId="427EC1D6" w14:textId="77777777" w:rsidR="00B96E1B" w:rsidRPr="00B96E1B" w:rsidRDefault="00B96E1B" w:rsidP="00B96E1B">
            <w:pPr>
              <w:jc w:val="both"/>
              <w:rPr>
                <w:bCs/>
                <w:sz w:val="20"/>
              </w:rPr>
            </w:pPr>
            <w:r w:rsidRPr="00B96E1B">
              <w:rPr>
                <w:bCs/>
                <w:sz w:val="20"/>
              </w:rPr>
              <w:t>Kitos veiklos pajamos (tūkst. Eur)</w:t>
            </w:r>
          </w:p>
        </w:tc>
        <w:tc>
          <w:tcPr>
            <w:tcW w:w="850" w:type="dxa"/>
            <w:shd w:val="clear" w:color="auto" w:fill="auto"/>
          </w:tcPr>
          <w:p w14:paraId="13DF0643" w14:textId="77777777" w:rsidR="00B96E1B" w:rsidRPr="00B96E1B" w:rsidRDefault="00B96E1B" w:rsidP="0076283F">
            <w:pPr>
              <w:jc w:val="right"/>
              <w:rPr>
                <w:sz w:val="20"/>
              </w:rPr>
            </w:pPr>
            <w:r w:rsidRPr="00B96E1B">
              <w:rPr>
                <w:sz w:val="20"/>
              </w:rPr>
              <w:t>0,0</w:t>
            </w:r>
          </w:p>
        </w:tc>
        <w:tc>
          <w:tcPr>
            <w:tcW w:w="851" w:type="dxa"/>
            <w:shd w:val="clear" w:color="auto" w:fill="auto"/>
          </w:tcPr>
          <w:p w14:paraId="6DFFF1CF" w14:textId="77777777" w:rsidR="00B96E1B" w:rsidRPr="00B96E1B" w:rsidRDefault="00B96E1B" w:rsidP="0076283F">
            <w:pPr>
              <w:jc w:val="right"/>
              <w:rPr>
                <w:sz w:val="20"/>
              </w:rPr>
            </w:pPr>
            <w:r w:rsidRPr="00B96E1B">
              <w:rPr>
                <w:sz w:val="20"/>
              </w:rPr>
              <w:t>4,4</w:t>
            </w:r>
          </w:p>
        </w:tc>
        <w:tc>
          <w:tcPr>
            <w:tcW w:w="845" w:type="dxa"/>
            <w:shd w:val="clear" w:color="auto" w:fill="auto"/>
          </w:tcPr>
          <w:p w14:paraId="0EEC7841" w14:textId="77777777" w:rsidR="00B96E1B" w:rsidRPr="00B96E1B" w:rsidRDefault="00B96E1B" w:rsidP="0076283F">
            <w:pPr>
              <w:jc w:val="right"/>
              <w:rPr>
                <w:sz w:val="20"/>
              </w:rPr>
            </w:pPr>
            <w:r w:rsidRPr="00B96E1B">
              <w:rPr>
                <w:sz w:val="20"/>
              </w:rPr>
              <w:t>3,0</w:t>
            </w:r>
          </w:p>
        </w:tc>
        <w:tc>
          <w:tcPr>
            <w:tcW w:w="1564" w:type="dxa"/>
          </w:tcPr>
          <w:p w14:paraId="285C336A" w14:textId="2A4E7402" w:rsidR="00B96E1B" w:rsidRPr="00B96E1B" w:rsidRDefault="0076283F" w:rsidP="0076283F">
            <w:pPr>
              <w:jc w:val="right"/>
              <w:rPr>
                <w:sz w:val="20"/>
              </w:rPr>
            </w:pPr>
            <w:r>
              <w:rPr>
                <w:sz w:val="20"/>
              </w:rPr>
              <w:t>0,0</w:t>
            </w:r>
          </w:p>
        </w:tc>
      </w:tr>
      <w:tr w:rsidR="00B96E1B" w:rsidRPr="00B96E1B" w14:paraId="40E69436" w14:textId="742D31BC" w:rsidTr="001260B8">
        <w:trPr>
          <w:trHeight w:val="278"/>
          <w:jc w:val="center"/>
        </w:trPr>
        <w:tc>
          <w:tcPr>
            <w:tcW w:w="5813" w:type="dxa"/>
            <w:shd w:val="clear" w:color="auto" w:fill="auto"/>
          </w:tcPr>
          <w:p w14:paraId="1D89EEA6" w14:textId="77777777" w:rsidR="00B96E1B" w:rsidRPr="00B96E1B" w:rsidRDefault="00B96E1B" w:rsidP="00B96E1B">
            <w:pPr>
              <w:jc w:val="both"/>
              <w:rPr>
                <w:bCs/>
                <w:sz w:val="20"/>
              </w:rPr>
            </w:pPr>
            <w:r w:rsidRPr="00B96E1B">
              <w:rPr>
                <w:bCs/>
                <w:sz w:val="20"/>
              </w:rPr>
              <w:t>Finansinės ir investicinės veiklos pajamos (tūkst. Eur)</w:t>
            </w:r>
          </w:p>
        </w:tc>
        <w:tc>
          <w:tcPr>
            <w:tcW w:w="850" w:type="dxa"/>
            <w:shd w:val="clear" w:color="auto" w:fill="auto"/>
          </w:tcPr>
          <w:p w14:paraId="4F950CA1" w14:textId="77777777" w:rsidR="00B96E1B" w:rsidRPr="00B96E1B" w:rsidRDefault="00B96E1B" w:rsidP="0076283F">
            <w:pPr>
              <w:jc w:val="right"/>
              <w:rPr>
                <w:sz w:val="20"/>
              </w:rPr>
            </w:pPr>
            <w:r w:rsidRPr="00B96E1B">
              <w:rPr>
                <w:sz w:val="20"/>
              </w:rPr>
              <w:t>3,3</w:t>
            </w:r>
          </w:p>
        </w:tc>
        <w:tc>
          <w:tcPr>
            <w:tcW w:w="851" w:type="dxa"/>
            <w:shd w:val="clear" w:color="auto" w:fill="auto"/>
          </w:tcPr>
          <w:p w14:paraId="24124A6A" w14:textId="77777777" w:rsidR="00B96E1B" w:rsidRPr="00B96E1B" w:rsidRDefault="00B96E1B" w:rsidP="0076283F">
            <w:pPr>
              <w:jc w:val="right"/>
              <w:rPr>
                <w:sz w:val="20"/>
              </w:rPr>
            </w:pPr>
            <w:r w:rsidRPr="00B96E1B">
              <w:rPr>
                <w:sz w:val="20"/>
              </w:rPr>
              <w:t>0,0</w:t>
            </w:r>
          </w:p>
        </w:tc>
        <w:tc>
          <w:tcPr>
            <w:tcW w:w="845" w:type="dxa"/>
            <w:shd w:val="clear" w:color="auto" w:fill="auto"/>
          </w:tcPr>
          <w:p w14:paraId="6CBD9ABF" w14:textId="77777777" w:rsidR="00B96E1B" w:rsidRPr="00B96E1B" w:rsidRDefault="00B96E1B" w:rsidP="0076283F">
            <w:pPr>
              <w:jc w:val="right"/>
              <w:rPr>
                <w:sz w:val="20"/>
              </w:rPr>
            </w:pPr>
            <w:r w:rsidRPr="00B96E1B">
              <w:rPr>
                <w:sz w:val="20"/>
              </w:rPr>
              <w:t>0,0</w:t>
            </w:r>
          </w:p>
        </w:tc>
        <w:tc>
          <w:tcPr>
            <w:tcW w:w="1564" w:type="dxa"/>
          </w:tcPr>
          <w:p w14:paraId="04D9FD66" w14:textId="1EC52A20" w:rsidR="00B96E1B" w:rsidRPr="00B96E1B" w:rsidRDefault="0076283F" w:rsidP="0076283F">
            <w:pPr>
              <w:jc w:val="right"/>
              <w:rPr>
                <w:sz w:val="20"/>
              </w:rPr>
            </w:pPr>
            <w:r>
              <w:rPr>
                <w:sz w:val="20"/>
              </w:rPr>
              <w:t>0,0</w:t>
            </w:r>
          </w:p>
        </w:tc>
      </w:tr>
      <w:tr w:rsidR="00B96E1B" w:rsidRPr="00B96E1B" w14:paraId="049A7644" w14:textId="39DAEE86" w:rsidTr="001260B8">
        <w:trPr>
          <w:trHeight w:val="278"/>
          <w:jc w:val="center"/>
        </w:trPr>
        <w:tc>
          <w:tcPr>
            <w:tcW w:w="5813" w:type="dxa"/>
            <w:shd w:val="clear" w:color="auto" w:fill="auto"/>
          </w:tcPr>
          <w:p w14:paraId="68D0BB26" w14:textId="77777777" w:rsidR="00B96E1B" w:rsidRPr="00B96E1B" w:rsidRDefault="00B96E1B" w:rsidP="00B96E1B">
            <w:pPr>
              <w:jc w:val="both"/>
              <w:rPr>
                <w:bCs/>
                <w:sz w:val="20"/>
              </w:rPr>
            </w:pPr>
            <w:r w:rsidRPr="00B96E1B">
              <w:rPr>
                <w:bCs/>
                <w:sz w:val="20"/>
              </w:rPr>
              <w:t>Sąnaudos iš viso (tūkst. Eur)</w:t>
            </w:r>
          </w:p>
        </w:tc>
        <w:tc>
          <w:tcPr>
            <w:tcW w:w="850" w:type="dxa"/>
            <w:shd w:val="clear" w:color="auto" w:fill="auto"/>
          </w:tcPr>
          <w:p w14:paraId="2AA89159" w14:textId="77777777" w:rsidR="00B96E1B" w:rsidRPr="00B96E1B" w:rsidRDefault="00B96E1B" w:rsidP="0076283F">
            <w:pPr>
              <w:jc w:val="right"/>
              <w:rPr>
                <w:sz w:val="20"/>
              </w:rPr>
            </w:pPr>
            <w:r w:rsidRPr="00B96E1B">
              <w:rPr>
                <w:sz w:val="20"/>
              </w:rPr>
              <w:t>2 055,7</w:t>
            </w:r>
          </w:p>
        </w:tc>
        <w:tc>
          <w:tcPr>
            <w:tcW w:w="851" w:type="dxa"/>
            <w:shd w:val="clear" w:color="auto" w:fill="auto"/>
          </w:tcPr>
          <w:p w14:paraId="1FDCD66E" w14:textId="77777777" w:rsidR="00B96E1B" w:rsidRPr="00B96E1B" w:rsidRDefault="00B96E1B" w:rsidP="0076283F">
            <w:pPr>
              <w:jc w:val="right"/>
              <w:rPr>
                <w:sz w:val="20"/>
              </w:rPr>
            </w:pPr>
            <w:r w:rsidRPr="00B96E1B">
              <w:rPr>
                <w:sz w:val="20"/>
              </w:rPr>
              <w:t>2 272,1</w:t>
            </w:r>
          </w:p>
        </w:tc>
        <w:tc>
          <w:tcPr>
            <w:tcW w:w="845" w:type="dxa"/>
            <w:shd w:val="clear" w:color="auto" w:fill="auto"/>
          </w:tcPr>
          <w:p w14:paraId="761AFE4B" w14:textId="77777777" w:rsidR="00B96E1B" w:rsidRPr="00B96E1B" w:rsidRDefault="00B96E1B" w:rsidP="0076283F">
            <w:pPr>
              <w:jc w:val="right"/>
              <w:rPr>
                <w:sz w:val="20"/>
              </w:rPr>
            </w:pPr>
            <w:r w:rsidRPr="00B96E1B">
              <w:rPr>
                <w:sz w:val="20"/>
              </w:rPr>
              <w:t>2 144,9</w:t>
            </w:r>
          </w:p>
        </w:tc>
        <w:tc>
          <w:tcPr>
            <w:tcW w:w="1564" w:type="dxa"/>
          </w:tcPr>
          <w:p w14:paraId="1EFD5490" w14:textId="0CEDC659" w:rsidR="00B96E1B" w:rsidRPr="00B96E1B" w:rsidRDefault="0076283F" w:rsidP="0076283F">
            <w:pPr>
              <w:jc w:val="right"/>
              <w:rPr>
                <w:sz w:val="20"/>
              </w:rPr>
            </w:pPr>
            <w:r>
              <w:rPr>
                <w:sz w:val="20"/>
              </w:rPr>
              <w:t>-9,5</w:t>
            </w:r>
          </w:p>
        </w:tc>
      </w:tr>
      <w:tr w:rsidR="00B96E1B" w:rsidRPr="00B96E1B" w14:paraId="646CF24E" w14:textId="77A1CF88" w:rsidTr="001260B8">
        <w:trPr>
          <w:trHeight w:val="278"/>
          <w:jc w:val="center"/>
        </w:trPr>
        <w:tc>
          <w:tcPr>
            <w:tcW w:w="5813" w:type="dxa"/>
            <w:shd w:val="clear" w:color="auto" w:fill="auto"/>
          </w:tcPr>
          <w:p w14:paraId="34B7BB49" w14:textId="77777777" w:rsidR="00B96E1B" w:rsidRPr="00B96E1B" w:rsidRDefault="00B96E1B" w:rsidP="00B96E1B">
            <w:pPr>
              <w:jc w:val="both"/>
              <w:rPr>
                <w:bCs/>
                <w:sz w:val="20"/>
              </w:rPr>
            </w:pPr>
            <w:r w:rsidRPr="00B96E1B">
              <w:rPr>
                <w:bCs/>
                <w:sz w:val="20"/>
              </w:rPr>
              <w:t>Pagrindinės veiklos sąnaudos (tūkst. Eur)</w:t>
            </w:r>
          </w:p>
        </w:tc>
        <w:tc>
          <w:tcPr>
            <w:tcW w:w="850" w:type="dxa"/>
            <w:shd w:val="clear" w:color="auto" w:fill="auto"/>
          </w:tcPr>
          <w:p w14:paraId="0798BC49" w14:textId="77777777" w:rsidR="00B96E1B" w:rsidRPr="00B96E1B" w:rsidRDefault="00B96E1B" w:rsidP="0076283F">
            <w:pPr>
              <w:jc w:val="right"/>
              <w:rPr>
                <w:sz w:val="20"/>
              </w:rPr>
            </w:pPr>
            <w:r w:rsidRPr="00B96E1B">
              <w:rPr>
                <w:sz w:val="20"/>
              </w:rPr>
              <w:t>1 406,6</w:t>
            </w:r>
          </w:p>
        </w:tc>
        <w:tc>
          <w:tcPr>
            <w:tcW w:w="851" w:type="dxa"/>
            <w:shd w:val="clear" w:color="auto" w:fill="auto"/>
          </w:tcPr>
          <w:p w14:paraId="097BEB0E" w14:textId="77777777" w:rsidR="00B96E1B" w:rsidRPr="00B96E1B" w:rsidRDefault="00B96E1B" w:rsidP="0076283F">
            <w:pPr>
              <w:jc w:val="right"/>
              <w:rPr>
                <w:sz w:val="20"/>
              </w:rPr>
            </w:pPr>
            <w:r w:rsidRPr="00B96E1B">
              <w:rPr>
                <w:sz w:val="20"/>
              </w:rPr>
              <w:t>1 635,6</w:t>
            </w:r>
          </w:p>
        </w:tc>
        <w:tc>
          <w:tcPr>
            <w:tcW w:w="845" w:type="dxa"/>
            <w:shd w:val="clear" w:color="auto" w:fill="auto"/>
          </w:tcPr>
          <w:p w14:paraId="71F523D7" w14:textId="77777777" w:rsidR="00B96E1B" w:rsidRPr="00B96E1B" w:rsidRDefault="00B96E1B" w:rsidP="0076283F">
            <w:pPr>
              <w:jc w:val="right"/>
              <w:rPr>
                <w:sz w:val="20"/>
              </w:rPr>
            </w:pPr>
            <w:r w:rsidRPr="00B96E1B">
              <w:rPr>
                <w:sz w:val="20"/>
              </w:rPr>
              <w:t>1 531,3</w:t>
            </w:r>
          </w:p>
        </w:tc>
        <w:tc>
          <w:tcPr>
            <w:tcW w:w="1564" w:type="dxa"/>
          </w:tcPr>
          <w:p w14:paraId="15A38F97" w14:textId="18DF0B11" w:rsidR="00B96E1B" w:rsidRPr="00B96E1B" w:rsidRDefault="0076283F" w:rsidP="0076283F">
            <w:pPr>
              <w:jc w:val="right"/>
              <w:rPr>
                <w:sz w:val="20"/>
              </w:rPr>
            </w:pPr>
            <w:r>
              <w:rPr>
                <w:sz w:val="20"/>
              </w:rPr>
              <w:t>-14,0</w:t>
            </w:r>
          </w:p>
        </w:tc>
      </w:tr>
      <w:tr w:rsidR="00B96E1B" w:rsidRPr="00B96E1B" w14:paraId="6343B0A3" w14:textId="3EC85F02" w:rsidTr="001260B8">
        <w:trPr>
          <w:trHeight w:val="278"/>
          <w:jc w:val="center"/>
        </w:trPr>
        <w:tc>
          <w:tcPr>
            <w:tcW w:w="5813" w:type="dxa"/>
            <w:shd w:val="clear" w:color="auto" w:fill="auto"/>
          </w:tcPr>
          <w:p w14:paraId="42987646" w14:textId="77777777" w:rsidR="00B96E1B" w:rsidRPr="00B96E1B" w:rsidRDefault="00B96E1B" w:rsidP="00B96E1B">
            <w:pPr>
              <w:jc w:val="both"/>
              <w:rPr>
                <w:bCs/>
                <w:sz w:val="20"/>
              </w:rPr>
            </w:pPr>
            <w:r w:rsidRPr="00B96E1B">
              <w:rPr>
                <w:bCs/>
                <w:sz w:val="20"/>
              </w:rPr>
              <w:t>Kitos veiklos sąnaudos (tūkst. Eur)</w:t>
            </w:r>
          </w:p>
        </w:tc>
        <w:tc>
          <w:tcPr>
            <w:tcW w:w="850" w:type="dxa"/>
            <w:shd w:val="clear" w:color="auto" w:fill="auto"/>
          </w:tcPr>
          <w:p w14:paraId="6DFE3065" w14:textId="77777777" w:rsidR="00B96E1B" w:rsidRPr="00B96E1B" w:rsidRDefault="00B96E1B" w:rsidP="0076283F">
            <w:pPr>
              <w:jc w:val="right"/>
              <w:rPr>
                <w:sz w:val="20"/>
              </w:rPr>
            </w:pPr>
            <w:r w:rsidRPr="00B96E1B">
              <w:rPr>
                <w:sz w:val="20"/>
              </w:rPr>
              <w:t>637,5</w:t>
            </w:r>
          </w:p>
        </w:tc>
        <w:tc>
          <w:tcPr>
            <w:tcW w:w="851" w:type="dxa"/>
            <w:shd w:val="clear" w:color="auto" w:fill="auto"/>
          </w:tcPr>
          <w:p w14:paraId="4B939225" w14:textId="77777777" w:rsidR="00B96E1B" w:rsidRPr="00B96E1B" w:rsidRDefault="00B96E1B" w:rsidP="0076283F">
            <w:pPr>
              <w:jc w:val="right"/>
              <w:rPr>
                <w:sz w:val="20"/>
              </w:rPr>
            </w:pPr>
            <w:r w:rsidRPr="00B96E1B">
              <w:rPr>
                <w:sz w:val="20"/>
              </w:rPr>
              <w:t>624,9</w:t>
            </w:r>
          </w:p>
        </w:tc>
        <w:tc>
          <w:tcPr>
            <w:tcW w:w="845" w:type="dxa"/>
            <w:shd w:val="clear" w:color="auto" w:fill="auto"/>
          </w:tcPr>
          <w:p w14:paraId="775A6E3A" w14:textId="77777777" w:rsidR="00B96E1B" w:rsidRPr="00B96E1B" w:rsidRDefault="00B96E1B" w:rsidP="0076283F">
            <w:pPr>
              <w:jc w:val="right"/>
              <w:rPr>
                <w:sz w:val="20"/>
              </w:rPr>
            </w:pPr>
            <w:r w:rsidRPr="00B96E1B">
              <w:rPr>
                <w:sz w:val="20"/>
              </w:rPr>
              <w:t>603,2</w:t>
            </w:r>
          </w:p>
        </w:tc>
        <w:tc>
          <w:tcPr>
            <w:tcW w:w="1564" w:type="dxa"/>
          </w:tcPr>
          <w:p w14:paraId="27F1B0B0" w14:textId="3FB850A2" w:rsidR="00B96E1B" w:rsidRPr="00B96E1B" w:rsidRDefault="0076283F" w:rsidP="0076283F">
            <w:pPr>
              <w:jc w:val="right"/>
              <w:rPr>
                <w:sz w:val="20"/>
              </w:rPr>
            </w:pPr>
            <w:r>
              <w:rPr>
                <w:sz w:val="20"/>
              </w:rPr>
              <w:t>2,0</w:t>
            </w:r>
          </w:p>
        </w:tc>
      </w:tr>
      <w:tr w:rsidR="00B96E1B" w:rsidRPr="00B96E1B" w14:paraId="4357E41D" w14:textId="7E14050F" w:rsidTr="001260B8">
        <w:trPr>
          <w:trHeight w:val="278"/>
          <w:jc w:val="center"/>
        </w:trPr>
        <w:tc>
          <w:tcPr>
            <w:tcW w:w="5813" w:type="dxa"/>
            <w:shd w:val="clear" w:color="auto" w:fill="auto"/>
          </w:tcPr>
          <w:p w14:paraId="36DC49F0" w14:textId="77777777" w:rsidR="00B96E1B" w:rsidRPr="00B96E1B" w:rsidRDefault="00B96E1B" w:rsidP="00B96E1B">
            <w:pPr>
              <w:jc w:val="both"/>
              <w:rPr>
                <w:bCs/>
                <w:sz w:val="20"/>
              </w:rPr>
            </w:pPr>
            <w:r w:rsidRPr="00B96E1B">
              <w:rPr>
                <w:bCs/>
                <w:sz w:val="20"/>
              </w:rPr>
              <w:t>Finansinės ir investicinės veiklos sąnaudos (tūkst. Eur)</w:t>
            </w:r>
          </w:p>
        </w:tc>
        <w:tc>
          <w:tcPr>
            <w:tcW w:w="850" w:type="dxa"/>
            <w:shd w:val="clear" w:color="auto" w:fill="auto"/>
          </w:tcPr>
          <w:p w14:paraId="3C0D452B" w14:textId="77777777" w:rsidR="00B96E1B" w:rsidRPr="00B96E1B" w:rsidRDefault="00B96E1B" w:rsidP="0076283F">
            <w:pPr>
              <w:jc w:val="right"/>
              <w:rPr>
                <w:sz w:val="20"/>
              </w:rPr>
            </w:pPr>
            <w:r w:rsidRPr="00B96E1B">
              <w:rPr>
                <w:sz w:val="20"/>
              </w:rPr>
              <w:t>11,6</w:t>
            </w:r>
          </w:p>
        </w:tc>
        <w:tc>
          <w:tcPr>
            <w:tcW w:w="851" w:type="dxa"/>
            <w:shd w:val="clear" w:color="auto" w:fill="auto"/>
          </w:tcPr>
          <w:p w14:paraId="64235950" w14:textId="77777777" w:rsidR="00B96E1B" w:rsidRPr="00B96E1B" w:rsidRDefault="00B96E1B" w:rsidP="0076283F">
            <w:pPr>
              <w:jc w:val="right"/>
              <w:rPr>
                <w:sz w:val="20"/>
              </w:rPr>
            </w:pPr>
            <w:r w:rsidRPr="00B96E1B">
              <w:rPr>
                <w:sz w:val="20"/>
              </w:rPr>
              <w:t>11,5</w:t>
            </w:r>
          </w:p>
        </w:tc>
        <w:tc>
          <w:tcPr>
            <w:tcW w:w="845" w:type="dxa"/>
            <w:shd w:val="clear" w:color="auto" w:fill="auto"/>
          </w:tcPr>
          <w:p w14:paraId="3B2631F9" w14:textId="77777777" w:rsidR="00B96E1B" w:rsidRPr="00B96E1B" w:rsidRDefault="00B96E1B" w:rsidP="0076283F">
            <w:pPr>
              <w:jc w:val="right"/>
              <w:rPr>
                <w:sz w:val="20"/>
              </w:rPr>
            </w:pPr>
            <w:r w:rsidRPr="00B96E1B">
              <w:rPr>
                <w:sz w:val="20"/>
              </w:rPr>
              <w:t>10,4</w:t>
            </w:r>
          </w:p>
        </w:tc>
        <w:tc>
          <w:tcPr>
            <w:tcW w:w="1564" w:type="dxa"/>
          </w:tcPr>
          <w:p w14:paraId="61130855" w14:textId="1CFA3F4E" w:rsidR="00B96E1B" w:rsidRPr="00B96E1B" w:rsidRDefault="0076283F" w:rsidP="0076283F">
            <w:pPr>
              <w:jc w:val="right"/>
              <w:rPr>
                <w:sz w:val="20"/>
              </w:rPr>
            </w:pPr>
            <w:r>
              <w:rPr>
                <w:sz w:val="20"/>
              </w:rPr>
              <w:t>0,9</w:t>
            </w:r>
          </w:p>
        </w:tc>
      </w:tr>
      <w:tr w:rsidR="00B96E1B" w:rsidRPr="00B96E1B" w14:paraId="4ACCCE64" w14:textId="323396B2" w:rsidTr="001260B8">
        <w:trPr>
          <w:trHeight w:val="278"/>
          <w:jc w:val="center"/>
        </w:trPr>
        <w:tc>
          <w:tcPr>
            <w:tcW w:w="5813" w:type="dxa"/>
            <w:shd w:val="clear" w:color="auto" w:fill="auto"/>
          </w:tcPr>
          <w:p w14:paraId="1DD71164" w14:textId="77777777" w:rsidR="00B96E1B" w:rsidRPr="00B96E1B" w:rsidRDefault="00B96E1B" w:rsidP="00B96E1B">
            <w:pPr>
              <w:jc w:val="both"/>
              <w:rPr>
                <w:bCs/>
                <w:sz w:val="20"/>
              </w:rPr>
            </w:pPr>
            <w:r w:rsidRPr="00B96E1B">
              <w:rPr>
                <w:bCs/>
                <w:sz w:val="20"/>
              </w:rPr>
              <w:t>Pelnas iki apmokestinimo (tūkst. Eur)</w:t>
            </w:r>
          </w:p>
        </w:tc>
        <w:tc>
          <w:tcPr>
            <w:tcW w:w="850" w:type="dxa"/>
            <w:shd w:val="clear" w:color="auto" w:fill="auto"/>
          </w:tcPr>
          <w:p w14:paraId="5EC2EF89" w14:textId="77777777" w:rsidR="00B96E1B" w:rsidRPr="00B96E1B" w:rsidRDefault="00B96E1B" w:rsidP="0076283F">
            <w:pPr>
              <w:jc w:val="right"/>
              <w:rPr>
                <w:sz w:val="20"/>
              </w:rPr>
            </w:pPr>
            <w:r w:rsidRPr="00B96E1B">
              <w:rPr>
                <w:sz w:val="20"/>
              </w:rPr>
              <w:t>28,2</w:t>
            </w:r>
          </w:p>
        </w:tc>
        <w:tc>
          <w:tcPr>
            <w:tcW w:w="851" w:type="dxa"/>
            <w:shd w:val="clear" w:color="auto" w:fill="auto"/>
          </w:tcPr>
          <w:p w14:paraId="776C3C2C" w14:textId="77777777" w:rsidR="00B96E1B" w:rsidRPr="00B96E1B" w:rsidRDefault="00B96E1B" w:rsidP="0076283F">
            <w:pPr>
              <w:jc w:val="right"/>
              <w:rPr>
                <w:sz w:val="20"/>
              </w:rPr>
            </w:pPr>
            <w:r w:rsidRPr="00B96E1B">
              <w:rPr>
                <w:sz w:val="20"/>
              </w:rPr>
              <w:t>21,4</w:t>
            </w:r>
          </w:p>
        </w:tc>
        <w:tc>
          <w:tcPr>
            <w:tcW w:w="845" w:type="dxa"/>
            <w:shd w:val="clear" w:color="auto" w:fill="auto"/>
          </w:tcPr>
          <w:p w14:paraId="0E4D6949" w14:textId="77777777" w:rsidR="00B96E1B" w:rsidRPr="00B96E1B" w:rsidRDefault="00B96E1B" w:rsidP="0076283F">
            <w:pPr>
              <w:jc w:val="right"/>
              <w:rPr>
                <w:sz w:val="20"/>
              </w:rPr>
            </w:pPr>
            <w:r w:rsidRPr="00B96E1B">
              <w:rPr>
                <w:sz w:val="20"/>
              </w:rPr>
              <w:t>32,2</w:t>
            </w:r>
          </w:p>
        </w:tc>
        <w:tc>
          <w:tcPr>
            <w:tcW w:w="1564" w:type="dxa"/>
          </w:tcPr>
          <w:p w14:paraId="00290123" w14:textId="475B4EC1" w:rsidR="00B96E1B" w:rsidRPr="00B96E1B" w:rsidRDefault="0076283F" w:rsidP="0076283F">
            <w:pPr>
              <w:jc w:val="right"/>
              <w:rPr>
                <w:sz w:val="20"/>
              </w:rPr>
            </w:pPr>
            <w:r>
              <w:rPr>
                <w:sz w:val="20"/>
              </w:rPr>
              <w:t>31,8</w:t>
            </w:r>
          </w:p>
        </w:tc>
      </w:tr>
      <w:tr w:rsidR="00B96E1B" w:rsidRPr="00B96E1B" w14:paraId="39A21E58" w14:textId="401D405B" w:rsidTr="001260B8">
        <w:trPr>
          <w:trHeight w:val="278"/>
          <w:jc w:val="center"/>
        </w:trPr>
        <w:tc>
          <w:tcPr>
            <w:tcW w:w="5813" w:type="dxa"/>
            <w:shd w:val="clear" w:color="auto" w:fill="auto"/>
          </w:tcPr>
          <w:p w14:paraId="2E16A700" w14:textId="77777777" w:rsidR="00B96E1B" w:rsidRPr="00B96E1B" w:rsidRDefault="00B96E1B" w:rsidP="00B96E1B">
            <w:pPr>
              <w:jc w:val="both"/>
              <w:rPr>
                <w:bCs/>
                <w:sz w:val="20"/>
              </w:rPr>
            </w:pPr>
            <w:r w:rsidRPr="00B96E1B">
              <w:rPr>
                <w:bCs/>
                <w:sz w:val="20"/>
              </w:rPr>
              <w:t>Grynasis pelnas (tūkst. Eur)</w:t>
            </w:r>
          </w:p>
        </w:tc>
        <w:tc>
          <w:tcPr>
            <w:tcW w:w="850" w:type="dxa"/>
            <w:shd w:val="clear" w:color="auto" w:fill="auto"/>
          </w:tcPr>
          <w:p w14:paraId="36116838" w14:textId="77777777" w:rsidR="00B96E1B" w:rsidRPr="00B96E1B" w:rsidRDefault="00B96E1B" w:rsidP="0076283F">
            <w:pPr>
              <w:jc w:val="right"/>
              <w:rPr>
                <w:sz w:val="20"/>
              </w:rPr>
            </w:pPr>
            <w:r w:rsidRPr="00B96E1B">
              <w:rPr>
                <w:sz w:val="20"/>
              </w:rPr>
              <w:t>23,7</w:t>
            </w:r>
          </w:p>
        </w:tc>
        <w:tc>
          <w:tcPr>
            <w:tcW w:w="851" w:type="dxa"/>
            <w:shd w:val="clear" w:color="auto" w:fill="auto"/>
          </w:tcPr>
          <w:p w14:paraId="54D7EF2E" w14:textId="77777777" w:rsidR="00B96E1B" w:rsidRPr="00B96E1B" w:rsidRDefault="00B96E1B" w:rsidP="0076283F">
            <w:pPr>
              <w:jc w:val="right"/>
              <w:rPr>
                <w:sz w:val="20"/>
              </w:rPr>
            </w:pPr>
            <w:r w:rsidRPr="00B96E1B">
              <w:rPr>
                <w:sz w:val="20"/>
              </w:rPr>
              <w:t>19,6</w:t>
            </w:r>
          </w:p>
        </w:tc>
        <w:tc>
          <w:tcPr>
            <w:tcW w:w="845" w:type="dxa"/>
            <w:shd w:val="clear" w:color="auto" w:fill="auto"/>
          </w:tcPr>
          <w:p w14:paraId="7AFF9272" w14:textId="77777777" w:rsidR="00B96E1B" w:rsidRPr="00B96E1B" w:rsidRDefault="00B96E1B" w:rsidP="0076283F">
            <w:pPr>
              <w:jc w:val="right"/>
              <w:rPr>
                <w:sz w:val="20"/>
              </w:rPr>
            </w:pPr>
            <w:r w:rsidRPr="00B96E1B">
              <w:rPr>
                <w:sz w:val="20"/>
              </w:rPr>
              <w:t>26,5</w:t>
            </w:r>
          </w:p>
        </w:tc>
        <w:tc>
          <w:tcPr>
            <w:tcW w:w="1564" w:type="dxa"/>
          </w:tcPr>
          <w:p w14:paraId="3D3AB615" w14:textId="14E91D87" w:rsidR="00B96E1B" w:rsidRPr="00B96E1B" w:rsidRDefault="0076283F" w:rsidP="0076283F">
            <w:pPr>
              <w:jc w:val="right"/>
              <w:rPr>
                <w:sz w:val="20"/>
              </w:rPr>
            </w:pPr>
            <w:r>
              <w:rPr>
                <w:sz w:val="20"/>
              </w:rPr>
              <w:t>20,9</w:t>
            </w:r>
          </w:p>
        </w:tc>
      </w:tr>
      <w:tr w:rsidR="00B96E1B" w:rsidRPr="00B96E1B" w14:paraId="21867F9C" w14:textId="10680F62" w:rsidTr="001260B8">
        <w:trPr>
          <w:trHeight w:val="278"/>
          <w:jc w:val="center"/>
        </w:trPr>
        <w:tc>
          <w:tcPr>
            <w:tcW w:w="5813" w:type="dxa"/>
            <w:shd w:val="clear" w:color="auto" w:fill="DBE5F1"/>
          </w:tcPr>
          <w:p w14:paraId="1B72E46C" w14:textId="77777777" w:rsidR="00B96E1B" w:rsidRPr="00B96E1B" w:rsidRDefault="00B96E1B" w:rsidP="00B96E1B">
            <w:pPr>
              <w:jc w:val="both"/>
              <w:rPr>
                <w:bCs/>
                <w:sz w:val="20"/>
              </w:rPr>
            </w:pPr>
            <w:r w:rsidRPr="00B96E1B">
              <w:rPr>
                <w:bCs/>
                <w:sz w:val="20"/>
              </w:rPr>
              <w:t>FINANSINIAI RODIKLIAI</w:t>
            </w:r>
          </w:p>
        </w:tc>
        <w:tc>
          <w:tcPr>
            <w:tcW w:w="850" w:type="dxa"/>
            <w:shd w:val="clear" w:color="auto" w:fill="DBE5F1"/>
          </w:tcPr>
          <w:p w14:paraId="21B1BD88" w14:textId="77777777" w:rsidR="00B96E1B" w:rsidRPr="00B96E1B" w:rsidRDefault="00B96E1B" w:rsidP="0076283F">
            <w:pPr>
              <w:jc w:val="right"/>
              <w:rPr>
                <w:sz w:val="20"/>
              </w:rPr>
            </w:pPr>
          </w:p>
        </w:tc>
        <w:tc>
          <w:tcPr>
            <w:tcW w:w="851" w:type="dxa"/>
            <w:shd w:val="clear" w:color="auto" w:fill="DBE5F1"/>
          </w:tcPr>
          <w:p w14:paraId="3AC0CA05" w14:textId="77777777" w:rsidR="00B96E1B" w:rsidRPr="00B96E1B" w:rsidRDefault="00B96E1B" w:rsidP="0076283F">
            <w:pPr>
              <w:jc w:val="right"/>
              <w:rPr>
                <w:sz w:val="20"/>
              </w:rPr>
            </w:pPr>
          </w:p>
        </w:tc>
        <w:tc>
          <w:tcPr>
            <w:tcW w:w="845" w:type="dxa"/>
            <w:shd w:val="clear" w:color="auto" w:fill="DBE5F1"/>
          </w:tcPr>
          <w:p w14:paraId="111303D3" w14:textId="77777777" w:rsidR="00B96E1B" w:rsidRPr="00B96E1B" w:rsidRDefault="00B96E1B" w:rsidP="0076283F">
            <w:pPr>
              <w:jc w:val="right"/>
              <w:rPr>
                <w:sz w:val="20"/>
              </w:rPr>
            </w:pPr>
          </w:p>
        </w:tc>
        <w:tc>
          <w:tcPr>
            <w:tcW w:w="1564" w:type="dxa"/>
            <w:shd w:val="clear" w:color="auto" w:fill="DBE5F1"/>
          </w:tcPr>
          <w:p w14:paraId="0322EE95" w14:textId="77777777" w:rsidR="00B96E1B" w:rsidRPr="00B96E1B" w:rsidRDefault="00B96E1B" w:rsidP="0076283F">
            <w:pPr>
              <w:jc w:val="right"/>
              <w:rPr>
                <w:sz w:val="20"/>
              </w:rPr>
            </w:pPr>
          </w:p>
        </w:tc>
      </w:tr>
      <w:tr w:rsidR="00B96E1B" w:rsidRPr="00B96E1B" w14:paraId="4943EC7D" w14:textId="6E2784A5" w:rsidTr="001260B8">
        <w:trPr>
          <w:trHeight w:val="278"/>
          <w:jc w:val="center"/>
        </w:trPr>
        <w:tc>
          <w:tcPr>
            <w:tcW w:w="5813" w:type="dxa"/>
            <w:shd w:val="clear" w:color="auto" w:fill="auto"/>
          </w:tcPr>
          <w:p w14:paraId="3FDA41DD" w14:textId="77777777" w:rsidR="00B96E1B" w:rsidRPr="00B96E1B" w:rsidRDefault="00B96E1B" w:rsidP="00B96E1B">
            <w:pPr>
              <w:jc w:val="both"/>
              <w:rPr>
                <w:bCs/>
                <w:sz w:val="20"/>
              </w:rPr>
            </w:pPr>
            <w:r w:rsidRPr="00B96E1B">
              <w:rPr>
                <w:bCs/>
                <w:sz w:val="20"/>
              </w:rPr>
              <w:t>Likvidumas (trumpalaikis turtas / trumpalaikiai įsipareigojimai)</w:t>
            </w:r>
          </w:p>
        </w:tc>
        <w:tc>
          <w:tcPr>
            <w:tcW w:w="850" w:type="dxa"/>
            <w:shd w:val="clear" w:color="auto" w:fill="auto"/>
          </w:tcPr>
          <w:p w14:paraId="331D8BFC" w14:textId="77777777" w:rsidR="00B96E1B" w:rsidRPr="00B96E1B" w:rsidRDefault="00B96E1B" w:rsidP="0076283F">
            <w:pPr>
              <w:jc w:val="right"/>
              <w:rPr>
                <w:sz w:val="20"/>
              </w:rPr>
            </w:pPr>
            <w:r w:rsidRPr="00B96E1B">
              <w:rPr>
                <w:sz w:val="20"/>
              </w:rPr>
              <w:t>0,8</w:t>
            </w:r>
          </w:p>
        </w:tc>
        <w:tc>
          <w:tcPr>
            <w:tcW w:w="851" w:type="dxa"/>
            <w:shd w:val="clear" w:color="auto" w:fill="auto"/>
          </w:tcPr>
          <w:p w14:paraId="0F900E14" w14:textId="77777777" w:rsidR="00B96E1B" w:rsidRPr="00B96E1B" w:rsidRDefault="00B96E1B" w:rsidP="0076283F">
            <w:pPr>
              <w:jc w:val="right"/>
              <w:rPr>
                <w:sz w:val="20"/>
              </w:rPr>
            </w:pPr>
            <w:r w:rsidRPr="00B96E1B">
              <w:rPr>
                <w:sz w:val="20"/>
              </w:rPr>
              <w:t>0,6</w:t>
            </w:r>
          </w:p>
        </w:tc>
        <w:tc>
          <w:tcPr>
            <w:tcW w:w="845" w:type="dxa"/>
            <w:shd w:val="clear" w:color="auto" w:fill="auto"/>
          </w:tcPr>
          <w:p w14:paraId="2478CC57" w14:textId="77777777" w:rsidR="00B96E1B" w:rsidRPr="00B96E1B" w:rsidRDefault="00B96E1B" w:rsidP="0076283F">
            <w:pPr>
              <w:jc w:val="right"/>
              <w:rPr>
                <w:sz w:val="20"/>
              </w:rPr>
            </w:pPr>
            <w:r w:rsidRPr="00B96E1B">
              <w:rPr>
                <w:sz w:val="20"/>
              </w:rPr>
              <w:t>0,7</w:t>
            </w:r>
          </w:p>
        </w:tc>
        <w:tc>
          <w:tcPr>
            <w:tcW w:w="1564" w:type="dxa"/>
          </w:tcPr>
          <w:p w14:paraId="7D18A8D3" w14:textId="77777777" w:rsidR="00B96E1B" w:rsidRPr="00B96E1B" w:rsidRDefault="00B96E1B" w:rsidP="0076283F">
            <w:pPr>
              <w:jc w:val="right"/>
              <w:rPr>
                <w:sz w:val="20"/>
              </w:rPr>
            </w:pPr>
          </w:p>
        </w:tc>
      </w:tr>
      <w:tr w:rsidR="00B96E1B" w:rsidRPr="00B96E1B" w14:paraId="25530A37" w14:textId="36119360" w:rsidTr="001260B8">
        <w:trPr>
          <w:trHeight w:val="278"/>
          <w:jc w:val="center"/>
        </w:trPr>
        <w:tc>
          <w:tcPr>
            <w:tcW w:w="5813" w:type="dxa"/>
            <w:shd w:val="clear" w:color="auto" w:fill="auto"/>
          </w:tcPr>
          <w:p w14:paraId="4DD44ACE" w14:textId="77777777" w:rsidR="00B96E1B" w:rsidRPr="00B96E1B" w:rsidRDefault="00B96E1B" w:rsidP="00B96E1B">
            <w:pPr>
              <w:jc w:val="both"/>
              <w:rPr>
                <w:bCs/>
                <w:sz w:val="20"/>
              </w:rPr>
            </w:pPr>
            <w:r w:rsidRPr="00B96E1B">
              <w:rPr>
                <w:bCs/>
                <w:sz w:val="20"/>
              </w:rPr>
              <w:t>Bendras pelningumas (bendrasis pelnas / pardavimai), proc.</w:t>
            </w:r>
          </w:p>
        </w:tc>
        <w:tc>
          <w:tcPr>
            <w:tcW w:w="850" w:type="dxa"/>
            <w:shd w:val="clear" w:color="auto" w:fill="auto"/>
          </w:tcPr>
          <w:p w14:paraId="6446A10B" w14:textId="77777777" w:rsidR="00B96E1B" w:rsidRPr="00B96E1B" w:rsidRDefault="00B96E1B" w:rsidP="0076283F">
            <w:pPr>
              <w:jc w:val="right"/>
              <w:rPr>
                <w:sz w:val="20"/>
              </w:rPr>
            </w:pPr>
            <w:r w:rsidRPr="00B96E1B">
              <w:rPr>
                <w:sz w:val="20"/>
              </w:rPr>
              <w:t>32,4</w:t>
            </w:r>
          </w:p>
        </w:tc>
        <w:tc>
          <w:tcPr>
            <w:tcW w:w="851" w:type="dxa"/>
            <w:shd w:val="clear" w:color="auto" w:fill="auto"/>
          </w:tcPr>
          <w:p w14:paraId="049D0588" w14:textId="77777777" w:rsidR="00B96E1B" w:rsidRPr="00B96E1B" w:rsidRDefault="00B96E1B" w:rsidP="0076283F">
            <w:pPr>
              <w:jc w:val="right"/>
              <w:rPr>
                <w:sz w:val="20"/>
              </w:rPr>
            </w:pPr>
            <w:r w:rsidRPr="00B96E1B">
              <w:rPr>
                <w:sz w:val="20"/>
              </w:rPr>
              <w:t>28,6</w:t>
            </w:r>
          </w:p>
        </w:tc>
        <w:tc>
          <w:tcPr>
            <w:tcW w:w="845" w:type="dxa"/>
            <w:shd w:val="clear" w:color="auto" w:fill="auto"/>
          </w:tcPr>
          <w:p w14:paraId="16E9E06A" w14:textId="77777777" w:rsidR="00B96E1B" w:rsidRPr="00B96E1B" w:rsidRDefault="00B96E1B" w:rsidP="0076283F">
            <w:pPr>
              <w:jc w:val="right"/>
              <w:rPr>
                <w:sz w:val="20"/>
              </w:rPr>
            </w:pPr>
            <w:r w:rsidRPr="00B96E1B">
              <w:rPr>
                <w:sz w:val="20"/>
              </w:rPr>
              <w:t>29,6</w:t>
            </w:r>
          </w:p>
        </w:tc>
        <w:tc>
          <w:tcPr>
            <w:tcW w:w="1564" w:type="dxa"/>
          </w:tcPr>
          <w:p w14:paraId="5B4F92EE" w14:textId="77777777" w:rsidR="00B96E1B" w:rsidRPr="00B96E1B" w:rsidRDefault="00B96E1B" w:rsidP="0076283F">
            <w:pPr>
              <w:jc w:val="right"/>
              <w:rPr>
                <w:sz w:val="20"/>
              </w:rPr>
            </w:pPr>
          </w:p>
        </w:tc>
      </w:tr>
      <w:tr w:rsidR="00B96E1B" w:rsidRPr="00B96E1B" w14:paraId="4F37B9EE" w14:textId="16C49220" w:rsidTr="001260B8">
        <w:trPr>
          <w:trHeight w:val="278"/>
          <w:jc w:val="center"/>
        </w:trPr>
        <w:tc>
          <w:tcPr>
            <w:tcW w:w="5813" w:type="dxa"/>
            <w:shd w:val="clear" w:color="auto" w:fill="auto"/>
          </w:tcPr>
          <w:p w14:paraId="7DBBB34C" w14:textId="77777777" w:rsidR="00B96E1B" w:rsidRPr="00B96E1B" w:rsidRDefault="00B96E1B" w:rsidP="00B96E1B">
            <w:pPr>
              <w:jc w:val="both"/>
              <w:rPr>
                <w:bCs/>
                <w:sz w:val="20"/>
              </w:rPr>
            </w:pPr>
            <w:r w:rsidRPr="00B96E1B">
              <w:rPr>
                <w:bCs/>
                <w:sz w:val="20"/>
              </w:rPr>
              <w:t>Grynasis pelningumas (grynasis pelnas / pardavimai), proc.</w:t>
            </w:r>
          </w:p>
        </w:tc>
        <w:tc>
          <w:tcPr>
            <w:tcW w:w="850" w:type="dxa"/>
            <w:shd w:val="clear" w:color="auto" w:fill="auto"/>
          </w:tcPr>
          <w:p w14:paraId="24DA6A37" w14:textId="77777777" w:rsidR="00B96E1B" w:rsidRPr="00B96E1B" w:rsidRDefault="00B96E1B" w:rsidP="0076283F">
            <w:pPr>
              <w:jc w:val="right"/>
              <w:rPr>
                <w:sz w:val="20"/>
              </w:rPr>
            </w:pPr>
            <w:r w:rsidRPr="00B96E1B">
              <w:rPr>
                <w:sz w:val="20"/>
              </w:rPr>
              <w:t>1,1</w:t>
            </w:r>
          </w:p>
        </w:tc>
        <w:tc>
          <w:tcPr>
            <w:tcW w:w="851" w:type="dxa"/>
            <w:shd w:val="clear" w:color="auto" w:fill="auto"/>
          </w:tcPr>
          <w:p w14:paraId="6A298057" w14:textId="77777777" w:rsidR="00B96E1B" w:rsidRPr="00B96E1B" w:rsidRDefault="00B96E1B" w:rsidP="0076283F">
            <w:pPr>
              <w:jc w:val="right"/>
              <w:rPr>
                <w:sz w:val="20"/>
              </w:rPr>
            </w:pPr>
            <w:r w:rsidRPr="00B96E1B">
              <w:rPr>
                <w:sz w:val="20"/>
              </w:rPr>
              <w:t>0,9</w:t>
            </w:r>
          </w:p>
        </w:tc>
        <w:tc>
          <w:tcPr>
            <w:tcW w:w="845" w:type="dxa"/>
            <w:shd w:val="clear" w:color="auto" w:fill="auto"/>
          </w:tcPr>
          <w:p w14:paraId="552D8AEE" w14:textId="77777777" w:rsidR="00B96E1B" w:rsidRPr="00B96E1B" w:rsidRDefault="00B96E1B" w:rsidP="0076283F">
            <w:pPr>
              <w:jc w:val="right"/>
              <w:rPr>
                <w:sz w:val="20"/>
              </w:rPr>
            </w:pPr>
            <w:r w:rsidRPr="00B96E1B">
              <w:rPr>
                <w:sz w:val="20"/>
              </w:rPr>
              <w:t>1,2</w:t>
            </w:r>
          </w:p>
        </w:tc>
        <w:tc>
          <w:tcPr>
            <w:tcW w:w="1564" w:type="dxa"/>
          </w:tcPr>
          <w:p w14:paraId="0E268B0D" w14:textId="77777777" w:rsidR="00B96E1B" w:rsidRPr="00B96E1B" w:rsidRDefault="00B96E1B" w:rsidP="0076283F">
            <w:pPr>
              <w:jc w:val="right"/>
              <w:rPr>
                <w:sz w:val="20"/>
              </w:rPr>
            </w:pPr>
          </w:p>
        </w:tc>
      </w:tr>
      <w:tr w:rsidR="00B96E1B" w:rsidRPr="00B96E1B" w14:paraId="3FFFEFC7" w14:textId="77B138C0" w:rsidTr="001260B8">
        <w:trPr>
          <w:trHeight w:val="278"/>
          <w:jc w:val="center"/>
        </w:trPr>
        <w:tc>
          <w:tcPr>
            <w:tcW w:w="5813" w:type="dxa"/>
            <w:shd w:val="clear" w:color="auto" w:fill="auto"/>
          </w:tcPr>
          <w:p w14:paraId="27E4C7C3" w14:textId="77777777" w:rsidR="00B96E1B" w:rsidRPr="00B96E1B" w:rsidRDefault="00B96E1B" w:rsidP="00B96E1B">
            <w:pPr>
              <w:jc w:val="both"/>
              <w:rPr>
                <w:bCs/>
                <w:sz w:val="20"/>
              </w:rPr>
            </w:pPr>
            <w:r w:rsidRPr="00B96E1B">
              <w:rPr>
                <w:bCs/>
                <w:sz w:val="20"/>
              </w:rPr>
              <w:t>EBITDA (pelnas, neatskaičius palūkanų, mokesčių, nusidėvėjimo ir amortizacijos) (tūkst. Eur)</w:t>
            </w:r>
          </w:p>
        </w:tc>
        <w:tc>
          <w:tcPr>
            <w:tcW w:w="850" w:type="dxa"/>
            <w:shd w:val="clear" w:color="auto" w:fill="auto"/>
          </w:tcPr>
          <w:p w14:paraId="0ED057B0" w14:textId="77777777" w:rsidR="00B96E1B" w:rsidRPr="00B96E1B" w:rsidRDefault="00B96E1B" w:rsidP="0076283F">
            <w:pPr>
              <w:jc w:val="right"/>
              <w:rPr>
                <w:sz w:val="20"/>
              </w:rPr>
            </w:pPr>
            <w:r w:rsidRPr="00B96E1B">
              <w:rPr>
                <w:sz w:val="20"/>
              </w:rPr>
              <w:t>329,1</w:t>
            </w:r>
          </w:p>
        </w:tc>
        <w:tc>
          <w:tcPr>
            <w:tcW w:w="851" w:type="dxa"/>
            <w:shd w:val="clear" w:color="auto" w:fill="auto"/>
          </w:tcPr>
          <w:p w14:paraId="69C0B83A" w14:textId="77777777" w:rsidR="00B96E1B" w:rsidRPr="00B96E1B" w:rsidRDefault="00B96E1B" w:rsidP="0076283F">
            <w:pPr>
              <w:jc w:val="right"/>
              <w:rPr>
                <w:sz w:val="20"/>
              </w:rPr>
            </w:pPr>
            <w:r w:rsidRPr="00B96E1B">
              <w:rPr>
                <w:sz w:val="20"/>
              </w:rPr>
              <w:t>298,6</w:t>
            </w:r>
          </w:p>
        </w:tc>
        <w:tc>
          <w:tcPr>
            <w:tcW w:w="845" w:type="dxa"/>
            <w:shd w:val="clear" w:color="auto" w:fill="auto"/>
          </w:tcPr>
          <w:p w14:paraId="2168793D" w14:textId="77777777" w:rsidR="00B96E1B" w:rsidRPr="00B96E1B" w:rsidRDefault="00B96E1B" w:rsidP="0076283F">
            <w:pPr>
              <w:jc w:val="right"/>
              <w:rPr>
                <w:sz w:val="20"/>
              </w:rPr>
            </w:pPr>
            <w:r w:rsidRPr="00B96E1B">
              <w:rPr>
                <w:sz w:val="20"/>
              </w:rPr>
              <w:t>284,8</w:t>
            </w:r>
          </w:p>
        </w:tc>
        <w:tc>
          <w:tcPr>
            <w:tcW w:w="1564" w:type="dxa"/>
          </w:tcPr>
          <w:p w14:paraId="64DB2571" w14:textId="1BEFFBA0" w:rsidR="00B96E1B" w:rsidRPr="00B96E1B" w:rsidRDefault="0076283F" w:rsidP="0076283F">
            <w:pPr>
              <w:jc w:val="right"/>
              <w:rPr>
                <w:sz w:val="20"/>
              </w:rPr>
            </w:pPr>
            <w:r>
              <w:rPr>
                <w:sz w:val="20"/>
              </w:rPr>
              <w:t>10,2</w:t>
            </w:r>
          </w:p>
        </w:tc>
      </w:tr>
      <w:tr w:rsidR="00B96E1B" w:rsidRPr="00B96E1B" w14:paraId="1496AF08" w14:textId="46385E74" w:rsidTr="001260B8">
        <w:trPr>
          <w:trHeight w:val="278"/>
          <w:jc w:val="center"/>
        </w:trPr>
        <w:tc>
          <w:tcPr>
            <w:tcW w:w="5813" w:type="dxa"/>
            <w:shd w:val="clear" w:color="auto" w:fill="auto"/>
          </w:tcPr>
          <w:p w14:paraId="589E7E3B" w14:textId="77777777" w:rsidR="00B96E1B" w:rsidRPr="00B96E1B" w:rsidRDefault="00B96E1B" w:rsidP="00B96E1B">
            <w:pPr>
              <w:jc w:val="both"/>
              <w:rPr>
                <w:bCs/>
                <w:sz w:val="20"/>
              </w:rPr>
            </w:pPr>
            <w:r w:rsidRPr="00B96E1B">
              <w:rPr>
                <w:bCs/>
                <w:sz w:val="20"/>
              </w:rPr>
              <w:t>EBITDA marža (EBITDA / pardavimų pajamos), proc.</w:t>
            </w:r>
          </w:p>
        </w:tc>
        <w:tc>
          <w:tcPr>
            <w:tcW w:w="850" w:type="dxa"/>
            <w:shd w:val="clear" w:color="auto" w:fill="auto"/>
          </w:tcPr>
          <w:p w14:paraId="535D8E93" w14:textId="77777777" w:rsidR="00B96E1B" w:rsidRPr="00B96E1B" w:rsidRDefault="00B96E1B" w:rsidP="0076283F">
            <w:pPr>
              <w:jc w:val="right"/>
              <w:rPr>
                <w:sz w:val="20"/>
              </w:rPr>
            </w:pPr>
            <w:r w:rsidRPr="00B96E1B">
              <w:rPr>
                <w:sz w:val="20"/>
              </w:rPr>
              <w:t>15,8</w:t>
            </w:r>
          </w:p>
        </w:tc>
        <w:tc>
          <w:tcPr>
            <w:tcW w:w="851" w:type="dxa"/>
            <w:shd w:val="clear" w:color="auto" w:fill="auto"/>
          </w:tcPr>
          <w:p w14:paraId="473381E2" w14:textId="77777777" w:rsidR="00B96E1B" w:rsidRPr="00B96E1B" w:rsidRDefault="00B96E1B" w:rsidP="0076283F">
            <w:pPr>
              <w:jc w:val="right"/>
              <w:rPr>
                <w:sz w:val="20"/>
              </w:rPr>
            </w:pPr>
            <w:r w:rsidRPr="00B96E1B">
              <w:rPr>
                <w:sz w:val="20"/>
              </w:rPr>
              <w:t>13,0</w:t>
            </w:r>
          </w:p>
        </w:tc>
        <w:tc>
          <w:tcPr>
            <w:tcW w:w="845" w:type="dxa"/>
            <w:shd w:val="clear" w:color="auto" w:fill="auto"/>
          </w:tcPr>
          <w:p w14:paraId="1E0A84D5" w14:textId="77777777" w:rsidR="00B96E1B" w:rsidRPr="00B96E1B" w:rsidRDefault="00B96E1B" w:rsidP="0076283F">
            <w:pPr>
              <w:jc w:val="right"/>
              <w:rPr>
                <w:sz w:val="20"/>
              </w:rPr>
            </w:pPr>
            <w:r w:rsidRPr="00B96E1B">
              <w:rPr>
                <w:sz w:val="20"/>
              </w:rPr>
              <w:t>13,1</w:t>
            </w:r>
          </w:p>
        </w:tc>
        <w:tc>
          <w:tcPr>
            <w:tcW w:w="1564" w:type="dxa"/>
          </w:tcPr>
          <w:p w14:paraId="7B8C7263" w14:textId="77777777" w:rsidR="00B96E1B" w:rsidRPr="00B96E1B" w:rsidRDefault="00B96E1B" w:rsidP="0076283F">
            <w:pPr>
              <w:jc w:val="right"/>
              <w:rPr>
                <w:sz w:val="20"/>
              </w:rPr>
            </w:pPr>
          </w:p>
        </w:tc>
      </w:tr>
      <w:tr w:rsidR="00B96E1B" w:rsidRPr="00B96E1B" w14:paraId="30F04C56" w14:textId="560D2F88" w:rsidTr="001260B8">
        <w:trPr>
          <w:trHeight w:val="278"/>
          <w:jc w:val="center"/>
        </w:trPr>
        <w:tc>
          <w:tcPr>
            <w:tcW w:w="5813" w:type="dxa"/>
            <w:shd w:val="clear" w:color="auto" w:fill="auto"/>
          </w:tcPr>
          <w:p w14:paraId="73C57C9A" w14:textId="77777777" w:rsidR="00B96E1B" w:rsidRPr="00B96E1B" w:rsidRDefault="00B96E1B" w:rsidP="00B96E1B">
            <w:pPr>
              <w:jc w:val="both"/>
              <w:rPr>
                <w:bCs/>
                <w:sz w:val="20"/>
              </w:rPr>
            </w:pPr>
            <w:r w:rsidRPr="00B96E1B">
              <w:rPr>
                <w:bCs/>
                <w:sz w:val="20"/>
              </w:rPr>
              <w:lastRenderedPageBreak/>
              <w:t>Nuosavo kapitalo pelningumas (ROE) (grynasis pelnas / nuosavas kapitalas), proc.</w:t>
            </w:r>
          </w:p>
        </w:tc>
        <w:tc>
          <w:tcPr>
            <w:tcW w:w="850" w:type="dxa"/>
            <w:shd w:val="clear" w:color="auto" w:fill="auto"/>
          </w:tcPr>
          <w:p w14:paraId="7A4A10B6" w14:textId="77777777" w:rsidR="00B96E1B" w:rsidRPr="00B96E1B" w:rsidRDefault="00B96E1B" w:rsidP="0076283F">
            <w:pPr>
              <w:jc w:val="right"/>
              <w:rPr>
                <w:sz w:val="20"/>
              </w:rPr>
            </w:pPr>
            <w:r w:rsidRPr="00B96E1B">
              <w:rPr>
                <w:sz w:val="20"/>
              </w:rPr>
              <w:t>2,1</w:t>
            </w:r>
          </w:p>
        </w:tc>
        <w:tc>
          <w:tcPr>
            <w:tcW w:w="851" w:type="dxa"/>
            <w:shd w:val="clear" w:color="auto" w:fill="auto"/>
          </w:tcPr>
          <w:p w14:paraId="066FFE32" w14:textId="77777777" w:rsidR="00B96E1B" w:rsidRPr="00B96E1B" w:rsidRDefault="00B96E1B" w:rsidP="0076283F">
            <w:pPr>
              <w:jc w:val="right"/>
              <w:rPr>
                <w:sz w:val="20"/>
              </w:rPr>
            </w:pPr>
            <w:r w:rsidRPr="00B96E1B">
              <w:rPr>
                <w:sz w:val="20"/>
              </w:rPr>
              <w:t>1,8</w:t>
            </w:r>
          </w:p>
        </w:tc>
        <w:tc>
          <w:tcPr>
            <w:tcW w:w="845" w:type="dxa"/>
            <w:shd w:val="clear" w:color="auto" w:fill="auto"/>
          </w:tcPr>
          <w:p w14:paraId="1177832F" w14:textId="77777777" w:rsidR="00B96E1B" w:rsidRPr="00B96E1B" w:rsidRDefault="00B96E1B" w:rsidP="0076283F">
            <w:pPr>
              <w:jc w:val="right"/>
              <w:rPr>
                <w:sz w:val="20"/>
              </w:rPr>
            </w:pPr>
            <w:r w:rsidRPr="00B96E1B">
              <w:rPr>
                <w:sz w:val="20"/>
              </w:rPr>
              <w:t>2,5</w:t>
            </w:r>
          </w:p>
        </w:tc>
        <w:tc>
          <w:tcPr>
            <w:tcW w:w="1564" w:type="dxa"/>
          </w:tcPr>
          <w:p w14:paraId="52E56014" w14:textId="77777777" w:rsidR="00B96E1B" w:rsidRPr="00B96E1B" w:rsidRDefault="00B96E1B" w:rsidP="0076283F">
            <w:pPr>
              <w:jc w:val="right"/>
              <w:rPr>
                <w:sz w:val="20"/>
              </w:rPr>
            </w:pPr>
          </w:p>
        </w:tc>
      </w:tr>
      <w:tr w:rsidR="00B96E1B" w:rsidRPr="00B96E1B" w14:paraId="54628F0C" w14:textId="44A3B9C7" w:rsidTr="001260B8">
        <w:trPr>
          <w:trHeight w:val="278"/>
          <w:jc w:val="center"/>
        </w:trPr>
        <w:tc>
          <w:tcPr>
            <w:tcW w:w="5813" w:type="dxa"/>
            <w:shd w:val="clear" w:color="auto" w:fill="auto"/>
          </w:tcPr>
          <w:p w14:paraId="0DAD43CE" w14:textId="77777777" w:rsidR="00B96E1B" w:rsidRPr="00B96E1B" w:rsidRDefault="00B96E1B" w:rsidP="00B96E1B">
            <w:pPr>
              <w:jc w:val="both"/>
              <w:rPr>
                <w:bCs/>
                <w:sz w:val="20"/>
              </w:rPr>
            </w:pPr>
            <w:r w:rsidRPr="00B96E1B">
              <w:rPr>
                <w:bCs/>
                <w:sz w:val="20"/>
              </w:rPr>
              <w:t>Turto pelningumas (ROA) (grynasis pelnas / turtas), proc.</w:t>
            </w:r>
          </w:p>
        </w:tc>
        <w:tc>
          <w:tcPr>
            <w:tcW w:w="850" w:type="dxa"/>
            <w:shd w:val="clear" w:color="auto" w:fill="auto"/>
          </w:tcPr>
          <w:p w14:paraId="4B0EF107" w14:textId="77777777" w:rsidR="00B96E1B" w:rsidRPr="00B96E1B" w:rsidRDefault="00B96E1B" w:rsidP="0076283F">
            <w:pPr>
              <w:jc w:val="right"/>
              <w:rPr>
                <w:sz w:val="20"/>
              </w:rPr>
            </w:pPr>
            <w:r w:rsidRPr="00B96E1B">
              <w:rPr>
                <w:sz w:val="20"/>
              </w:rPr>
              <w:t>1,1</w:t>
            </w:r>
          </w:p>
        </w:tc>
        <w:tc>
          <w:tcPr>
            <w:tcW w:w="851" w:type="dxa"/>
            <w:shd w:val="clear" w:color="auto" w:fill="auto"/>
          </w:tcPr>
          <w:p w14:paraId="1741866B" w14:textId="77777777" w:rsidR="00B96E1B" w:rsidRPr="00B96E1B" w:rsidRDefault="00B96E1B" w:rsidP="0076283F">
            <w:pPr>
              <w:jc w:val="right"/>
              <w:rPr>
                <w:sz w:val="20"/>
              </w:rPr>
            </w:pPr>
            <w:r w:rsidRPr="00B96E1B">
              <w:rPr>
                <w:sz w:val="20"/>
              </w:rPr>
              <w:t>1,0</w:t>
            </w:r>
          </w:p>
        </w:tc>
        <w:tc>
          <w:tcPr>
            <w:tcW w:w="845" w:type="dxa"/>
            <w:shd w:val="clear" w:color="auto" w:fill="auto"/>
          </w:tcPr>
          <w:p w14:paraId="47CE676D" w14:textId="77777777" w:rsidR="00B96E1B" w:rsidRPr="00B96E1B" w:rsidRDefault="00B96E1B" w:rsidP="0076283F">
            <w:pPr>
              <w:jc w:val="right"/>
              <w:rPr>
                <w:sz w:val="20"/>
              </w:rPr>
            </w:pPr>
            <w:r w:rsidRPr="00B96E1B">
              <w:rPr>
                <w:sz w:val="20"/>
              </w:rPr>
              <w:t>1,5</w:t>
            </w:r>
          </w:p>
        </w:tc>
        <w:tc>
          <w:tcPr>
            <w:tcW w:w="1564" w:type="dxa"/>
          </w:tcPr>
          <w:p w14:paraId="581AF151" w14:textId="77777777" w:rsidR="00B96E1B" w:rsidRPr="00B96E1B" w:rsidRDefault="00B96E1B" w:rsidP="0076283F">
            <w:pPr>
              <w:jc w:val="right"/>
              <w:rPr>
                <w:sz w:val="20"/>
              </w:rPr>
            </w:pPr>
          </w:p>
        </w:tc>
      </w:tr>
      <w:tr w:rsidR="00B96E1B" w:rsidRPr="00B96E1B" w14:paraId="517774EA" w14:textId="1CA88B17" w:rsidTr="001260B8">
        <w:trPr>
          <w:trHeight w:val="278"/>
          <w:jc w:val="center"/>
        </w:trPr>
        <w:tc>
          <w:tcPr>
            <w:tcW w:w="5813" w:type="dxa"/>
            <w:shd w:val="clear" w:color="auto" w:fill="auto"/>
          </w:tcPr>
          <w:p w14:paraId="6416A004" w14:textId="77777777" w:rsidR="00B96E1B" w:rsidRPr="00B96E1B" w:rsidRDefault="00B96E1B" w:rsidP="00B96E1B">
            <w:pPr>
              <w:rPr>
                <w:bCs/>
                <w:sz w:val="20"/>
              </w:rPr>
            </w:pPr>
            <w:r w:rsidRPr="00B96E1B">
              <w:rPr>
                <w:bCs/>
                <w:sz w:val="20"/>
              </w:rPr>
              <w:t>Įsiskolinimo koeficientas (mokėtinos sumos ir įsipareigojimai / turtas), proc.</w:t>
            </w:r>
          </w:p>
        </w:tc>
        <w:tc>
          <w:tcPr>
            <w:tcW w:w="850" w:type="dxa"/>
            <w:shd w:val="clear" w:color="auto" w:fill="auto"/>
          </w:tcPr>
          <w:p w14:paraId="53059F6E" w14:textId="77777777" w:rsidR="00B96E1B" w:rsidRPr="00B96E1B" w:rsidRDefault="00B96E1B" w:rsidP="0076283F">
            <w:pPr>
              <w:jc w:val="right"/>
              <w:rPr>
                <w:sz w:val="20"/>
              </w:rPr>
            </w:pPr>
            <w:r w:rsidRPr="00B96E1B">
              <w:rPr>
                <w:sz w:val="20"/>
              </w:rPr>
              <w:t>47,2</w:t>
            </w:r>
          </w:p>
        </w:tc>
        <w:tc>
          <w:tcPr>
            <w:tcW w:w="851" w:type="dxa"/>
            <w:shd w:val="clear" w:color="auto" w:fill="auto"/>
          </w:tcPr>
          <w:p w14:paraId="19C220F8" w14:textId="77777777" w:rsidR="00B96E1B" w:rsidRPr="00B96E1B" w:rsidRDefault="00B96E1B" w:rsidP="0076283F">
            <w:pPr>
              <w:jc w:val="right"/>
              <w:rPr>
                <w:sz w:val="20"/>
              </w:rPr>
            </w:pPr>
            <w:r w:rsidRPr="00B96E1B">
              <w:rPr>
                <w:sz w:val="20"/>
              </w:rPr>
              <w:t>43,2</w:t>
            </w:r>
          </w:p>
        </w:tc>
        <w:tc>
          <w:tcPr>
            <w:tcW w:w="845" w:type="dxa"/>
            <w:shd w:val="clear" w:color="auto" w:fill="auto"/>
          </w:tcPr>
          <w:p w14:paraId="4777940C" w14:textId="77777777" w:rsidR="00B96E1B" w:rsidRPr="00B96E1B" w:rsidRDefault="00B96E1B" w:rsidP="0076283F">
            <w:pPr>
              <w:jc w:val="right"/>
              <w:rPr>
                <w:sz w:val="20"/>
              </w:rPr>
            </w:pPr>
            <w:r w:rsidRPr="00B96E1B">
              <w:rPr>
                <w:sz w:val="20"/>
              </w:rPr>
              <w:t>40,9</w:t>
            </w:r>
          </w:p>
        </w:tc>
        <w:tc>
          <w:tcPr>
            <w:tcW w:w="1564" w:type="dxa"/>
          </w:tcPr>
          <w:p w14:paraId="08ECC2F5" w14:textId="77777777" w:rsidR="00B96E1B" w:rsidRPr="00B96E1B" w:rsidRDefault="00B96E1B" w:rsidP="0076283F">
            <w:pPr>
              <w:jc w:val="right"/>
              <w:rPr>
                <w:sz w:val="20"/>
              </w:rPr>
            </w:pPr>
          </w:p>
        </w:tc>
      </w:tr>
      <w:tr w:rsidR="00B96E1B" w:rsidRPr="00B96E1B" w14:paraId="0DB019FE" w14:textId="7DFFDD0F" w:rsidTr="001260B8">
        <w:trPr>
          <w:trHeight w:val="278"/>
          <w:jc w:val="center"/>
        </w:trPr>
        <w:tc>
          <w:tcPr>
            <w:tcW w:w="5813" w:type="dxa"/>
            <w:shd w:val="clear" w:color="auto" w:fill="auto"/>
          </w:tcPr>
          <w:p w14:paraId="6ECD05B4" w14:textId="77777777" w:rsidR="00B96E1B" w:rsidRPr="00B96E1B" w:rsidRDefault="00B96E1B" w:rsidP="00B96E1B">
            <w:pPr>
              <w:rPr>
                <w:bCs/>
                <w:sz w:val="20"/>
              </w:rPr>
            </w:pPr>
            <w:r w:rsidRPr="00B96E1B">
              <w:rPr>
                <w:bCs/>
                <w:sz w:val="20"/>
              </w:rPr>
              <w:t>Įsipareigojimų ir nuosavo kapitalo santykis (mokėtinos sumos ir įsipareigojimai / nuosavas kapitalas), proc.</w:t>
            </w:r>
          </w:p>
        </w:tc>
        <w:tc>
          <w:tcPr>
            <w:tcW w:w="850" w:type="dxa"/>
            <w:shd w:val="clear" w:color="auto" w:fill="auto"/>
          </w:tcPr>
          <w:p w14:paraId="4A60BC48" w14:textId="77777777" w:rsidR="00B96E1B" w:rsidRPr="00B96E1B" w:rsidRDefault="00B96E1B" w:rsidP="0076283F">
            <w:pPr>
              <w:jc w:val="right"/>
              <w:rPr>
                <w:sz w:val="20"/>
              </w:rPr>
            </w:pPr>
            <w:r w:rsidRPr="00B96E1B">
              <w:rPr>
                <w:sz w:val="20"/>
              </w:rPr>
              <w:t>89,7</w:t>
            </w:r>
          </w:p>
        </w:tc>
        <w:tc>
          <w:tcPr>
            <w:tcW w:w="851" w:type="dxa"/>
            <w:shd w:val="clear" w:color="auto" w:fill="auto"/>
          </w:tcPr>
          <w:p w14:paraId="7C23F397" w14:textId="77777777" w:rsidR="00B96E1B" w:rsidRPr="00B96E1B" w:rsidRDefault="00B96E1B" w:rsidP="0076283F">
            <w:pPr>
              <w:jc w:val="right"/>
              <w:rPr>
                <w:sz w:val="20"/>
              </w:rPr>
            </w:pPr>
            <w:r w:rsidRPr="00B96E1B">
              <w:rPr>
                <w:sz w:val="20"/>
              </w:rPr>
              <w:t>76,1</w:t>
            </w:r>
          </w:p>
        </w:tc>
        <w:tc>
          <w:tcPr>
            <w:tcW w:w="845" w:type="dxa"/>
            <w:shd w:val="clear" w:color="auto" w:fill="auto"/>
          </w:tcPr>
          <w:p w14:paraId="0A44D51B" w14:textId="77777777" w:rsidR="00B96E1B" w:rsidRPr="00B96E1B" w:rsidRDefault="00B96E1B" w:rsidP="0076283F">
            <w:pPr>
              <w:jc w:val="right"/>
              <w:rPr>
                <w:sz w:val="20"/>
              </w:rPr>
            </w:pPr>
            <w:r w:rsidRPr="00B96E1B">
              <w:rPr>
                <w:sz w:val="20"/>
              </w:rPr>
              <w:t>69,4</w:t>
            </w:r>
          </w:p>
        </w:tc>
        <w:tc>
          <w:tcPr>
            <w:tcW w:w="1564" w:type="dxa"/>
          </w:tcPr>
          <w:p w14:paraId="5BD08128" w14:textId="77777777" w:rsidR="00B96E1B" w:rsidRPr="00B96E1B" w:rsidRDefault="00B96E1B" w:rsidP="0076283F">
            <w:pPr>
              <w:jc w:val="right"/>
              <w:rPr>
                <w:sz w:val="20"/>
              </w:rPr>
            </w:pPr>
          </w:p>
        </w:tc>
      </w:tr>
      <w:tr w:rsidR="00B96E1B" w:rsidRPr="00B96E1B" w14:paraId="1A2F8073" w14:textId="68F7CD58" w:rsidTr="001260B8">
        <w:trPr>
          <w:trHeight w:val="278"/>
          <w:jc w:val="center"/>
        </w:trPr>
        <w:tc>
          <w:tcPr>
            <w:tcW w:w="5813" w:type="dxa"/>
            <w:shd w:val="clear" w:color="auto" w:fill="auto"/>
          </w:tcPr>
          <w:p w14:paraId="37E1ED0E" w14:textId="77777777" w:rsidR="00B96E1B" w:rsidRPr="00B96E1B" w:rsidRDefault="00B96E1B" w:rsidP="00B96E1B">
            <w:pPr>
              <w:rPr>
                <w:bCs/>
                <w:sz w:val="20"/>
              </w:rPr>
            </w:pPr>
            <w:bookmarkStart w:id="1" w:name="_Hlk37064043"/>
            <w:r w:rsidRPr="00B96E1B">
              <w:rPr>
                <w:sz w:val="20"/>
              </w:rPr>
              <w:t>Debitorinio įsiskolinimo apyvartumas dienomis (</w:t>
            </w:r>
            <w:r w:rsidRPr="00B96E1B">
              <w:rPr>
                <w:rFonts w:eastAsia="Calibri"/>
                <w:sz w:val="20"/>
              </w:rPr>
              <w:t>debitorinis įsiskolinimas (</w:t>
            </w:r>
            <w:proofErr w:type="spellStart"/>
            <w:r w:rsidRPr="00B96E1B">
              <w:rPr>
                <w:rFonts w:eastAsia="Calibri"/>
                <w:sz w:val="20"/>
              </w:rPr>
              <w:t>vid</w:t>
            </w:r>
            <w:proofErr w:type="spellEnd"/>
            <w:r w:rsidRPr="00B96E1B">
              <w:rPr>
                <w:rFonts w:eastAsia="Calibri"/>
                <w:sz w:val="20"/>
              </w:rPr>
              <w:t>. vertė) *365 / Pardavimo pajamos)</w:t>
            </w:r>
          </w:p>
        </w:tc>
        <w:tc>
          <w:tcPr>
            <w:tcW w:w="850" w:type="dxa"/>
            <w:shd w:val="clear" w:color="auto" w:fill="auto"/>
          </w:tcPr>
          <w:p w14:paraId="71500C5F" w14:textId="77777777" w:rsidR="00B96E1B" w:rsidRPr="00B96E1B" w:rsidRDefault="00B96E1B" w:rsidP="0076283F">
            <w:pPr>
              <w:jc w:val="right"/>
              <w:rPr>
                <w:sz w:val="20"/>
              </w:rPr>
            </w:pPr>
            <w:r w:rsidRPr="00B96E1B">
              <w:rPr>
                <w:sz w:val="20"/>
              </w:rPr>
              <w:t>22,3</w:t>
            </w:r>
          </w:p>
        </w:tc>
        <w:tc>
          <w:tcPr>
            <w:tcW w:w="851" w:type="dxa"/>
            <w:shd w:val="clear" w:color="auto" w:fill="auto"/>
          </w:tcPr>
          <w:p w14:paraId="26F793FF" w14:textId="77777777" w:rsidR="00B96E1B" w:rsidRPr="00B96E1B" w:rsidRDefault="00B96E1B" w:rsidP="0076283F">
            <w:pPr>
              <w:jc w:val="right"/>
              <w:rPr>
                <w:sz w:val="20"/>
              </w:rPr>
            </w:pPr>
            <w:r w:rsidRPr="00B96E1B">
              <w:rPr>
                <w:sz w:val="20"/>
              </w:rPr>
              <w:t>7,1</w:t>
            </w:r>
          </w:p>
        </w:tc>
        <w:tc>
          <w:tcPr>
            <w:tcW w:w="845" w:type="dxa"/>
            <w:shd w:val="clear" w:color="auto" w:fill="auto"/>
          </w:tcPr>
          <w:p w14:paraId="02F55E4E" w14:textId="77777777" w:rsidR="00B96E1B" w:rsidRPr="00B96E1B" w:rsidRDefault="00B96E1B" w:rsidP="0076283F">
            <w:pPr>
              <w:jc w:val="right"/>
              <w:rPr>
                <w:sz w:val="20"/>
              </w:rPr>
            </w:pPr>
            <w:r w:rsidRPr="00B96E1B">
              <w:rPr>
                <w:sz w:val="20"/>
              </w:rPr>
              <w:t>11,2</w:t>
            </w:r>
          </w:p>
        </w:tc>
        <w:tc>
          <w:tcPr>
            <w:tcW w:w="1564" w:type="dxa"/>
          </w:tcPr>
          <w:p w14:paraId="058DA5CE" w14:textId="77777777" w:rsidR="00B96E1B" w:rsidRPr="00B96E1B" w:rsidRDefault="00B96E1B" w:rsidP="0076283F">
            <w:pPr>
              <w:jc w:val="right"/>
              <w:rPr>
                <w:sz w:val="20"/>
              </w:rPr>
            </w:pPr>
          </w:p>
        </w:tc>
      </w:tr>
      <w:tr w:rsidR="00B96E1B" w:rsidRPr="00B96E1B" w14:paraId="1A88CD84" w14:textId="261E747A" w:rsidTr="001260B8">
        <w:trPr>
          <w:trHeight w:val="278"/>
          <w:jc w:val="center"/>
        </w:trPr>
        <w:tc>
          <w:tcPr>
            <w:tcW w:w="5813" w:type="dxa"/>
            <w:shd w:val="clear" w:color="auto" w:fill="auto"/>
          </w:tcPr>
          <w:p w14:paraId="2B5F7267" w14:textId="77777777" w:rsidR="00B96E1B" w:rsidRPr="00B96E1B" w:rsidRDefault="00B96E1B" w:rsidP="00B96E1B">
            <w:pPr>
              <w:rPr>
                <w:bCs/>
                <w:sz w:val="20"/>
              </w:rPr>
            </w:pPr>
            <w:bookmarkStart w:id="2" w:name="_Hlk37064063"/>
            <w:bookmarkEnd w:id="1"/>
            <w:r w:rsidRPr="00B96E1B">
              <w:rPr>
                <w:sz w:val="20"/>
              </w:rPr>
              <w:t>Kreditorinio įsiskolinimo apyvartumas dienomis (</w:t>
            </w:r>
            <w:r w:rsidRPr="00B96E1B">
              <w:rPr>
                <w:rFonts w:eastAsia="Calibri"/>
                <w:sz w:val="20"/>
              </w:rPr>
              <w:t>kreditorinis įsiskolinimas (</w:t>
            </w:r>
            <w:proofErr w:type="spellStart"/>
            <w:r w:rsidRPr="00B96E1B">
              <w:rPr>
                <w:rFonts w:eastAsia="Calibri"/>
                <w:sz w:val="20"/>
              </w:rPr>
              <w:t>vid</w:t>
            </w:r>
            <w:proofErr w:type="spellEnd"/>
            <w:r w:rsidRPr="00B96E1B">
              <w:rPr>
                <w:rFonts w:eastAsia="Calibri"/>
                <w:sz w:val="20"/>
              </w:rPr>
              <w:t>. vertė) *365 / Pardavimo pajamos)</w:t>
            </w:r>
          </w:p>
        </w:tc>
        <w:tc>
          <w:tcPr>
            <w:tcW w:w="850" w:type="dxa"/>
            <w:shd w:val="clear" w:color="auto" w:fill="auto"/>
          </w:tcPr>
          <w:p w14:paraId="07B4B3DC" w14:textId="77777777" w:rsidR="00B96E1B" w:rsidRPr="00B96E1B" w:rsidRDefault="00B96E1B" w:rsidP="0076283F">
            <w:pPr>
              <w:jc w:val="right"/>
              <w:rPr>
                <w:sz w:val="20"/>
              </w:rPr>
            </w:pPr>
            <w:r w:rsidRPr="00B96E1B">
              <w:rPr>
                <w:sz w:val="20"/>
              </w:rPr>
              <w:t>174,2</w:t>
            </w:r>
          </w:p>
        </w:tc>
        <w:tc>
          <w:tcPr>
            <w:tcW w:w="851" w:type="dxa"/>
            <w:shd w:val="clear" w:color="auto" w:fill="auto"/>
          </w:tcPr>
          <w:p w14:paraId="3A64BB9D" w14:textId="77777777" w:rsidR="00B96E1B" w:rsidRPr="00B96E1B" w:rsidRDefault="00B96E1B" w:rsidP="0076283F">
            <w:pPr>
              <w:jc w:val="right"/>
              <w:rPr>
                <w:sz w:val="20"/>
              </w:rPr>
            </w:pPr>
            <w:r w:rsidRPr="00B96E1B">
              <w:rPr>
                <w:sz w:val="20"/>
              </w:rPr>
              <w:t>131,6</w:t>
            </w:r>
          </w:p>
        </w:tc>
        <w:tc>
          <w:tcPr>
            <w:tcW w:w="845" w:type="dxa"/>
            <w:shd w:val="clear" w:color="auto" w:fill="auto"/>
          </w:tcPr>
          <w:p w14:paraId="457E54D2" w14:textId="77777777" w:rsidR="00B96E1B" w:rsidRPr="00B96E1B" w:rsidRDefault="00B96E1B" w:rsidP="0076283F">
            <w:pPr>
              <w:jc w:val="right"/>
              <w:rPr>
                <w:sz w:val="20"/>
              </w:rPr>
            </w:pPr>
            <w:r w:rsidRPr="00B96E1B">
              <w:rPr>
                <w:sz w:val="20"/>
              </w:rPr>
              <w:t>123,9</w:t>
            </w:r>
          </w:p>
        </w:tc>
        <w:tc>
          <w:tcPr>
            <w:tcW w:w="1564" w:type="dxa"/>
          </w:tcPr>
          <w:p w14:paraId="79673F56" w14:textId="77777777" w:rsidR="00B96E1B" w:rsidRPr="00B96E1B" w:rsidRDefault="00B96E1B" w:rsidP="0076283F">
            <w:pPr>
              <w:jc w:val="right"/>
              <w:rPr>
                <w:sz w:val="20"/>
              </w:rPr>
            </w:pPr>
          </w:p>
        </w:tc>
      </w:tr>
      <w:bookmarkEnd w:id="2"/>
      <w:tr w:rsidR="00B96E1B" w:rsidRPr="00B96E1B" w14:paraId="50C85F50" w14:textId="08F5D057" w:rsidTr="001260B8">
        <w:trPr>
          <w:trHeight w:val="195"/>
          <w:jc w:val="center"/>
        </w:trPr>
        <w:tc>
          <w:tcPr>
            <w:tcW w:w="5813" w:type="dxa"/>
            <w:shd w:val="clear" w:color="auto" w:fill="DBE5F1"/>
          </w:tcPr>
          <w:p w14:paraId="0D40F089" w14:textId="77777777" w:rsidR="00B96E1B" w:rsidRPr="00B96E1B" w:rsidRDefault="00B96E1B" w:rsidP="00B96E1B">
            <w:pPr>
              <w:jc w:val="both"/>
              <w:rPr>
                <w:bCs/>
                <w:sz w:val="20"/>
              </w:rPr>
            </w:pPr>
            <w:r w:rsidRPr="00B96E1B">
              <w:rPr>
                <w:bCs/>
                <w:sz w:val="20"/>
              </w:rPr>
              <w:t>INVESTICIJOS</w:t>
            </w:r>
          </w:p>
        </w:tc>
        <w:tc>
          <w:tcPr>
            <w:tcW w:w="850" w:type="dxa"/>
            <w:shd w:val="clear" w:color="auto" w:fill="DBE5F1"/>
          </w:tcPr>
          <w:p w14:paraId="0F58785C" w14:textId="77777777" w:rsidR="00B96E1B" w:rsidRPr="00B96E1B" w:rsidRDefault="00B96E1B" w:rsidP="0076283F">
            <w:pPr>
              <w:jc w:val="right"/>
              <w:rPr>
                <w:sz w:val="20"/>
              </w:rPr>
            </w:pPr>
          </w:p>
        </w:tc>
        <w:tc>
          <w:tcPr>
            <w:tcW w:w="851" w:type="dxa"/>
            <w:shd w:val="clear" w:color="auto" w:fill="DBE5F1"/>
          </w:tcPr>
          <w:p w14:paraId="500E2AED" w14:textId="77777777" w:rsidR="00B96E1B" w:rsidRPr="00B96E1B" w:rsidRDefault="00B96E1B" w:rsidP="0076283F">
            <w:pPr>
              <w:jc w:val="right"/>
              <w:rPr>
                <w:sz w:val="20"/>
              </w:rPr>
            </w:pPr>
          </w:p>
        </w:tc>
        <w:tc>
          <w:tcPr>
            <w:tcW w:w="845" w:type="dxa"/>
            <w:shd w:val="clear" w:color="auto" w:fill="DBE5F1"/>
          </w:tcPr>
          <w:p w14:paraId="4A91A734" w14:textId="77777777" w:rsidR="00B96E1B" w:rsidRPr="00B96E1B" w:rsidRDefault="00B96E1B" w:rsidP="0076283F">
            <w:pPr>
              <w:jc w:val="right"/>
              <w:rPr>
                <w:sz w:val="20"/>
              </w:rPr>
            </w:pPr>
          </w:p>
        </w:tc>
        <w:tc>
          <w:tcPr>
            <w:tcW w:w="1564" w:type="dxa"/>
            <w:shd w:val="clear" w:color="auto" w:fill="DBE5F1"/>
          </w:tcPr>
          <w:p w14:paraId="59464417" w14:textId="77777777" w:rsidR="00B96E1B" w:rsidRPr="00B96E1B" w:rsidRDefault="00B96E1B" w:rsidP="0076283F">
            <w:pPr>
              <w:jc w:val="right"/>
              <w:rPr>
                <w:sz w:val="20"/>
              </w:rPr>
            </w:pPr>
          </w:p>
        </w:tc>
      </w:tr>
      <w:tr w:rsidR="00B96E1B" w:rsidRPr="00B96E1B" w14:paraId="408B75AA" w14:textId="77AEFFD1" w:rsidTr="001260B8">
        <w:trPr>
          <w:trHeight w:val="278"/>
          <w:jc w:val="center"/>
        </w:trPr>
        <w:tc>
          <w:tcPr>
            <w:tcW w:w="5813" w:type="dxa"/>
            <w:shd w:val="clear" w:color="auto" w:fill="auto"/>
          </w:tcPr>
          <w:p w14:paraId="31FD6FB5" w14:textId="77777777" w:rsidR="00B96E1B" w:rsidRPr="00B96E1B" w:rsidRDefault="00B96E1B" w:rsidP="00B96E1B">
            <w:pPr>
              <w:jc w:val="both"/>
              <w:rPr>
                <w:bCs/>
                <w:sz w:val="20"/>
              </w:rPr>
            </w:pPr>
            <w:r w:rsidRPr="00B96E1B">
              <w:rPr>
                <w:bCs/>
                <w:sz w:val="20"/>
              </w:rPr>
              <w:t>Investicijos (tūkst. Eur)</w:t>
            </w:r>
          </w:p>
        </w:tc>
        <w:tc>
          <w:tcPr>
            <w:tcW w:w="850" w:type="dxa"/>
            <w:shd w:val="clear" w:color="auto" w:fill="auto"/>
          </w:tcPr>
          <w:p w14:paraId="62B33EF4" w14:textId="77777777" w:rsidR="00B96E1B" w:rsidRPr="00B96E1B" w:rsidRDefault="00B96E1B" w:rsidP="0076283F">
            <w:pPr>
              <w:jc w:val="right"/>
              <w:rPr>
                <w:sz w:val="20"/>
              </w:rPr>
            </w:pPr>
            <w:r w:rsidRPr="00B96E1B">
              <w:rPr>
                <w:sz w:val="20"/>
              </w:rPr>
              <w:t>268,7</w:t>
            </w:r>
          </w:p>
        </w:tc>
        <w:tc>
          <w:tcPr>
            <w:tcW w:w="851" w:type="dxa"/>
            <w:shd w:val="clear" w:color="auto" w:fill="auto"/>
          </w:tcPr>
          <w:p w14:paraId="11830C6E" w14:textId="77777777" w:rsidR="00B96E1B" w:rsidRPr="00B96E1B" w:rsidRDefault="00B96E1B" w:rsidP="0076283F">
            <w:pPr>
              <w:jc w:val="right"/>
              <w:rPr>
                <w:sz w:val="20"/>
              </w:rPr>
            </w:pPr>
            <w:r w:rsidRPr="00B96E1B">
              <w:rPr>
                <w:sz w:val="20"/>
              </w:rPr>
              <w:t>348,3</w:t>
            </w:r>
          </w:p>
        </w:tc>
        <w:tc>
          <w:tcPr>
            <w:tcW w:w="845" w:type="dxa"/>
            <w:shd w:val="clear" w:color="auto" w:fill="auto"/>
          </w:tcPr>
          <w:p w14:paraId="6B80A01D" w14:textId="77777777" w:rsidR="00B96E1B" w:rsidRPr="00B96E1B" w:rsidRDefault="00B96E1B" w:rsidP="0076283F">
            <w:pPr>
              <w:jc w:val="right"/>
              <w:rPr>
                <w:sz w:val="20"/>
              </w:rPr>
            </w:pPr>
            <w:r w:rsidRPr="00B96E1B">
              <w:rPr>
                <w:sz w:val="20"/>
              </w:rPr>
              <w:t>383,4</w:t>
            </w:r>
          </w:p>
        </w:tc>
        <w:tc>
          <w:tcPr>
            <w:tcW w:w="1564" w:type="dxa"/>
          </w:tcPr>
          <w:p w14:paraId="0F98F07C" w14:textId="6094F7A6" w:rsidR="00B96E1B" w:rsidRPr="00B96E1B" w:rsidRDefault="0076283F" w:rsidP="0076283F">
            <w:pPr>
              <w:jc w:val="right"/>
              <w:rPr>
                <w:sz w:val="20"/>
              </w:rPr>
            </w:pPr>
            <w:r>
              <w:rPr>
                <w:sz w:val="20"/>
              </w:rPr>
              <w:t>-22,9</w:t>
            </w:r>
          </w:p>
        </w:tc>
      </w:tr>
      <w:tr w:rsidR="00B96E1B" w:rsidRPr="00B96E1B" w14:paraId="0D7C7F8E" w14:textId="794E8CC0" w:rsidTr="001260B8">
        <w:trPr>
          <w:trHeight w:val="278"/>
          <w:jc w:val="center"/>
        </w:trPr>
        <w:tc>
          <w:tcPr>
            <w:tcW w:w="5813" w:type="dxa"/>
            <w:shd w:val="clear" w:color="auto" w:fill="auto"/>
          </w:tcPr>
          <w:p w14:paraId="412DE1C9" w14:textId="77777777" w:rsidR="00B96E1B" w:rsidRPr="00B96E1B" w:rsidRDefault="00B96E1B" w:rsidP="00B96E1B">
            <w:pPr>
              <w:jc w:val="both"/>
              <w:rPr>
                <w:bCs/>
                <w:sz w:val="20"/>
              </w:rPr>
            </w:pPr>
            <w:r w:rsidRPr="00B96E1B">
              <w:rPr>
                <w:bCs/>
                <w:sz w:val="20"/>
              </w:rPr>
              <w:t>Įmonės nuosavos lėšos investicijoms (tūkst. Eur)</w:t>
            </w:r>
          </w:p>
        </w:tc>
        <w:tc>
          <w:tcPr>
            <w:tcW w:w="850" w:type="dxa"/>
            <w:shd w:val="clear" w:color="auto" w:fill="auto"/>
          </w:tcPr>
          <w:p w14:paraId="183BAC7F" w14:textId="77777777" w:rsidR="00B96E1B" w:rsidRPr="00B96E1B" w:rsidRDefault="00B96E1B" w:rsidP="0076283F">
            <w:pPr>
              <w:jc w:val="right"/>
              <w:rPr>
                <w:sz w:val="20"/>
              </w:rPr>
            </w:pPr>
            <w:r w:rsidRPr="00B96E1B">
              <w:rPr>
                <w:sz w:val="20"/>
              </w:rPr>
              <w:t>250,2</w:t>
            </w:r>
          </w:p>
        </w:tc>
        <w:tc>
          <w:tcPr>
            <w:tcW w:w="851" w:type="dxa"/>
            <w:shd w:val="clear" w:color="auto" w:fill="auto"/>
          </w:tcPr>
          <w:p w14:paraId="44553AC2" w14:textId="77777777" w:rsidR="00B96E1B" w:rsidRPr="00B96E1B" w:rsidRDefault="00B96E1B" w:rsidP="0076283F">
            <w:pPr>
              <w:jc w:val="right"/>
              <w:rPr>
                <w:sz w:val="20"/>
              </w:rPr>
            </w:pPr>
            <w:r w:rsidRPr="00B96E1B">
              <w:rPr>
                <w:sz w:val="20"/>
              </w:rPr>
              <w:t>327,2</w:t>
            </w:r>
          </w:p>
        </w:tc>
        <w:tc>
          <w:tcPr>
            <w:tcW w:w="845" w:type="dxa"/>
            <w:shd w:val="clear" w:color="auto" w:fill="auto"/>
          </w:tcPr>
          <w:p w14:paraId="14BC0E47" w14:textId="77777777" w:rsidR="00B96E1B" w:rsidRPr="00B96E1B" w:rsidRDefault="00B96E1B" w:rsidP="0076283F">
            <w:pPr>
              <w:jc w:val="right"/>
              <w:rPr>
                <w:sz w:val="20"/>
              </w:rPr>
            </w:pPr>
            <w:r w:rsidRPr="00B96E1B">
              <w:rPr>
                <w:sz w:val="20"/>
              </w:rPr>
              <w:t>323,2</w:t>
            </w:r>
          </w:p>
        </w:tc>
        <w:tc>
          <w:tcPr>
            <w:tcW w:w="1564" w:type="dxa"/>
          </w:tcPr>
          <w:p w14:paraId="557A9B6F" w14:textId="2BC4C652" w:rsidR="00B96E1B" w:rsidRPr="00B96E1B" w:rsidRDefault="0076283F" w:rsidP="0076283F">
            <w:pPr>
              <w:jc w:val="right"/>
              <w:rPr>
                <w:sz w:val="20"/>
              </w:rPr>
            </w:pPr>
            <w:r>
              <w:rPr>
                <w:sz w:val="20"/>
              </w:rPr>
              <w:t>-23,5</w:t>
            </w:r>
          </w:p>
        </w:tc>
      </w:tr>
      <w:tr w:rsidR="00B96E1B" w:rsidRPr="00B96E1B" w14:paraId="736FF8F1" w14:textId="5BA9CA90" w:rsidTr="001260B8">
        <w:trPr>
          <w:trHeight w:val="222"/>
          <w:jc w:val="center"/>
        </w:trPr>
        <w:tc>
          <w:tcPr>
            <w:tcW w:w="5813" w:type="dxa"/>
            <w:shd w:val="clear" w:color="auto" w:fill="DBE5F1"/>
          </w:tcPr>
          <w:p w14:paraId="7C36222E" w14:textId="77777777" w:rsidR="00B96E1B" w:rsidRPr="00B96E1B" w:rsidRDefault="00B96E1B" w:rsidP="00B96E1B">
            <w:pPr>
              <w:jc w:val="both"/>
              <w:rPr>
                <w:bCs/>
                <w:sz w:val="20"/>
              </w:rPr>
            </w:pPr>
            <w:r w:rsidRPr="00B96E1B">
              <w:rPr>
                <w:bCs/>
                <w:sz w:val="20"/>
              </w:rPr>
              <w:t>INFORMACIJA APIE DARBUOTOJUS</w:t>
            </w:r>
          </w:p>
        </w:tc>
        <w:tc>
          <w:tcPr>
            <w:tcW w:w="850" w:type="dxa"/>
            <w:shd w:val="clear" w:color="auto" w:fill="DBE5F1"/>
          </w:tcPr>
          <w:p w14:paraId="43CA365F" w14:textId="77777777" w:rsidR="00B96E1B" w:rsidRPr="00B96E1B" w:rsidRDefault="00B96E1B" w:rsidP="0076283F">
            <w:pPr>
              <w:jc w:val="right"/>
              <w:rPr>
                <w:sz w:val="20"/>
              </w:rPr>
            </w:pPr>
          </w:p>
        </w:tc>
        <w:tc>
          <w:tcPr>
            <w:tcW w:w="851" w:type="dxa"/>
            <w:shd w:val="clear" w:color="auto" w:fill="DBE5F1"/>
          </w:tcPr>
          <w:p w14:paraId="3F94B780" w14:textId="77777777" w:rsidR="00B96E1B" w:rsidRPr="00B96E1B" w:rsidRDefault="00B96E1B" w:rsidP="0076283F">
            <w:pPr>
              <w:jc w:val="right"/>
              <w:rPr>
                <w:sz w:val="20"/>
              </w:rPr>
            </w:pPr>
          </w:p>
        </w:tc>
        <w:tc>
          <w:tcPr>
            <w:tcW w:w="845" w:type="dxa"/>
            <w:shd w:val="clear" w:color="auto" w:fill="DBE5F1"/>
          </w:tcPr>
          <w:p w14:paraId="47506CEF" w14:textId="77777777" w:rsidR="00B96E1B" w:rsidRPr="00B96E1B" w:rsidRDefault="00B96E1B" w:rsidP="0076283F">
            <w:pPr>
              <w:jc w:val="right"/>
              <w:rPr>
                <w:sz w:val="20"/>
              </w:rPr>
            </w:pPr>
          </w:p>
        </w:tc>
        <w:tc>
          <w:tcPr>
            <w:tcW w:w="1564" w:type="dxa"/>
            <w:shd w:val="clear" w:color="auto" w:fill="DBE5F1"/>
          </w:tcPr>
          <w:p w14:paraId="1BCCDCF7" w14:textId="77777777" w:rsidR="00B96E1B" w:rsidRPr="00B96E1B" w:rsidRDefault="00B96E1B" w:rsidP="0076283F">
            <w:pPr>
              <w:jc w:val="right"/>
              <w:rPr>
                <w:sz w:val="20"/>
              </w:rPr>
            </w:pPr>
          </w:p>
        </w:tc>
      </w:tr>
      <w:tr w:rsidR="00B96E1B" w:rsidRPr="00B96E1B" w14:paraId="62F5BDF6" w14:textId="1D45C3BA" w:rsidTr="001260B8">
        <w:trPr>
          <w:trHeight w:val="278"/>
          <w:jc w:val="center"/>
        </w:trPr>
        <w:tc>
          <w:tcPr>
            <w:tcW w:w="5813" w:type="dxa"/>
            <w:shd w:val="clear" w:color="auto" w:fill="auto"/>
          </w:tcPr>
          <w:p w14:paraId="29AE39E0" w14:textId="77777777" w:rsidR="00B96E1B" w:rsidRPr="00B96E1B" w:rsidRDefault="00B96E1B" w:rsidP="00B96E1B">
            <w:pPr>
              <w:jc w:val="both"/>
              <w:rPr>
                <w:bCs/>
                <w:sz w:val="20"/>
              </w:rPr>
            </w:pPr>
            <w:r w:rsidRPr="00B96E1B">
              <w:rPr>
                <w:bCs/>
                <w:sz w:val="20"/>
              </w:rPr>
              <w:t>Darbuotojų skaičius sąraše</w:t>
            </w:r>
          </w:p>
        </w:tc>
        <w:tc>
          <w:tcPr>
            <w:tcW w:w="850" w:type="dxa"/>
            <w:shd w:val="clear" w:color="auto" w:fill="auto"/>
          </w:tcPr>
          <w:p w14:paraId="1BEF17D3" w14:textId="77777777" w:rsidR="00B96E1B" w:rsidRPr="00B96E1B" w:rsidRDefault="00B96E1B" w:rsidP="0076283F">
            <w:pPr>
              <w:jc w:val="right"/>
              <w:rPr>
                <w:sz w:val="20"/>
              </w:rPr>
            </w:pPr>
            <w:r w:rsidRPr="00B96E1B">
              <w:rPr>
                <w:sz w:val="20"/>
              </w:rPr>
              <w:t>82</w:t>
            </w:r>
          </w:p>
        </w:tc>
        <w:tc>
          <w:tcPr>
            <w:tcW w:w="851" w:type="dxa"/>
            <w:shd w:val="clear" w:color="auto" w:fill="auto"/>
          </w:tcPr>
          <w:p w14:paraId="3E71BE23" w14:textId="77777777" w:rsidR="00B96E1B" w:rsidRPr="00B96E1B" w:rsidRDefault="00B96E1B" w:rsidP="0076283F">
            <w:pPr>
              <w:jc w:val="right"/>
              <w:rPr>
                <w:sz w:val="20"/>
              </w:rPr>
            </w:pPr>
            <w:r w:rsidRPr="00B96E1B">
              <w:rPr>
                <w:sz w:val="20"/>
              </w:rPr>
              <w:t>85</w:t>
            </w:r>
          </w:p>
        </w:tc>
        <w:tc>
          <w:tcPr>
            <w:tcW w:w="845" w:type="dxa"/>
            <w:shd w:val="clear" w:color="auto" w:fill="auto"/>
          </w:tcPr>
          <w:p w14:paraId="2C981F4E" w14:textId="77777777" w:rsidR="00B96E1B" w:rsidRPr="00B96E1B" w:rsidRDefault="00B96E1B" w:rsidP="0076283F">
            <w:pPr>
              <w:jc w:val="right"/>
              <w:rPr>
                <w:sz w:val="20"/>
              </w:rPr>
            </w:pPr>
            <w:r w:rsidRPr="00B96E1B">
              <w:rPr>
                <w:sz w:val="20"/>
              </w:rPr>
              <w:t>86</w:t>
            </w:r>
          </w:p>
        </w:tc>
        <w:tc>
          <w:tcPr>
            <w:tcW w:w="1564" w:type="dxa"/>
          </w:tcPr>
          <w:p w14:paraId="187281CD" w14:textId="01339125" w:rsidR="00B96E1B" w:rsidRPr="00B96E1B" w:rsidRDefault="005B0467" w:rsidP="0076283F">
            <w:pPr>
              <w:jc w:val="right"/>
              <w:rPr>
                <w:sz w:val="20"/>
              </w:rPr>
            </w:pPr>
            <w:r>
              <w:rPr>
                <w:sz w:val="20"/>
              </w:rPr>
              <w:t>-3,6</w:t>
            </w:r>
          </w:p>
        </w:tc>
      </w:tr>
      <w:tr w:rsidR="00B96E1B" w:rsidRPr="00B96E1B" w14:paraId="7616E5A8" w14:textId="7BEA5708" w:rsidTr="001260B8">
        <w:trPr>
          <w:trHeight w:val="278"/>
          <w:jc w:val="center"/>
        </w:trPr>
        <w:tc>
          <w:tcPr>
            <w:tcW w:w="5813" w:type="dxa"/>
            <w:shd w:val="clear" w:color="auto" w:fill="auto"/>
          </w:tcPr>
          <w:p w14:paraId="08858347" w14:textId="77777777" w:rsidR="00B96E1B" w:rsidRPr="00B96E1B" w:rsidRDefault="00B96E1B" w:rsidP="00B96E1B">
            <w:pPr>
              <w:jc w:val="both"/>
              <w:rPr>
                <w:bCs/>
                <w:sz w:val="20"/>
              </w:rPr>
            </w:pPr>
            <w:r w:rsidRPr="00B96E1B">
              <w:rPr>
                <w:bCs/>
                <w:sz w:val="20"/>
              </w:rPr>
              <w:t>Vidutinis mėnesinis darbo užmokestis* (Eur), tame skaičiuje:</w:t>
            </w:r>
          </w:p>
        </w:tc>
        <w:tc>
          <w:tcPr>
            <w:tcW w:w="850" w:type="dxa"/>
            <w:shd w:val="clear" w:color="auto" w:fill="auto"/>
          </w:tcPr>
          <w:p w14:paraId="0509E668" w14:textId="77777777" w:rsidR="00B96E1B" w:rsidRPr="00B96E1B" w:rsidRDefault="00B96E1B" w:rsidP="0076283F">
            <w:pPr>
              <w:jc w:val="right"/>
              <w:rPr>
                <w:sz w:val="20"/>
              </w:rPr>
            </w:pPr>
            <w:r w:rsidRPr="00B96E1B">
              <w:rPr>
                <w:sz w:val="20"/>
              </w:rPr>
              <w:t>1047</w:t>
            </w:r>
          </w:p>
        </w:tc>
        <w:tc>
          <w:tcPr>
            <w:tcW w:w="851" w:type="dxa"/>
            <w:shd w:val="clear" w:color="auto" w:fill="auto"/>
          </w:tcPr>
          <w:p w14:paraId="67D8CC51" w14:textId="77777777" w:rsidR="00B96E1B" w:rsidRPr="00B96E1B" w:rsidRDefault="00B96E1B" w:rsidP="0076283F">
            <w:pPr>
              <w:jc w:val="right"/>
              <w:rPr>
                <w:sz w:val="20"/>
              </w:rPr>
            </w:pPr>
            <w:r w:rsidRPr="00B96E1B">
              <w:rPr>
                <w:sz w:val="20"/>
              </w:rPr>
              <w:t>1095</w:t>
            </w:r>
          </w:p>
        </w:tc>
        <w:tc>
          <w:tcPr>
            <w:tcW w:w="845" w:type="dxa"/>
            <w:shd w:val="clear" w:color="auto" w:fill="auto"/>
          </w:tcPr>
          <w:p w14:paraId="03232389" w14:textId="77777777" w:rsidR="00B96E1B" w:rsidRPr="00B96E1B" w:rsidRDefault="00B96E1B" w:rsidP="0076283F">
            <w:pPr>
              <w:jc w:val="right"/>
              <w:rPr>
                <w:sz w:val="20"/>
              </w:rPr>
            </w:pPr>
            <w:r w:rsidRPr="00B96E1B">
              <w:rPr>
                <w:sz w:val="20"/>
              </w:rPr>
              <w:t>1030</w:t>
            </w:r>
          </w:p>
        </w:tc>
        <w:tc>
          <w:tcPr>
            <w:tcW w:w="1564" w:type="dxa"/>
          </w:tcPr>
          <w:p w14:paraId="6819CBA2" w14:textId="3253E9E5" w:rsidR="00B96E1B" w:rsidRPr="00B96E1B" w:rsidRDefault="005B0467" w:rsidP="0076283F">
            <w:pPr>
              <w:jc w:val="right"/>
              <w:rPr>
                <w:sz w:val="20"/>
              </w:rPr>
            </w:pPr>
            <w:r>
              <w:rPr>
                <w:sz w:val="20"/>
              </w:rPr>
              <w:t>-4,4</w:t>
            </w:r>
          </w:p>
        </w:tc>
      </w:tr>
      <w:tr w:rsidR="00B96E1B" w:rsidRPr="00B96E1B" w14:paraId="25071380" w14:textId="40A5FE43" w:rsidTr="001260B8">
        <w:trPr>
          <w:trHeight w:val="278"/>
          <w:jc w:val="center"/>
        </w:trPr>
        <w:tc>
          <w:tcPr>
            <w:tcW w:w="5813" w:type="dxa"/>
            <w:shd w:val="clear" w:color="auto" w:fill="auto"/>
          </w:tcPr>
          <w:p w14:paraId="67754249" w14:textId="77777777" w:rsidR="00B96E1B" w:rsidRPr="00B96E1B" w:rsidRDefault="00B96E1B" w:rsidP="00B96E1B">
            <w:pPr>
              <w:rPr>
                <w:bCs/>
                <w:sz w:val="20"/>
              </w:rPr>
            </w:pPr>
            <w:r w:rsidRPr="00B96E1B">
              <w:rPr>
                <w:bCs/>
                <w:sz w:val="20"/>
              </w:rPr>
              <w:t>Vidutinis mėnesinis direktoriaus darbo užmokestis* (Bendrovėje yra vienas vadovas) (Eur)</w:t>
            </w:r>
          </w:p>
        </w:tc>
        <w:tc>
          <w:tcPr>
            <w:tcW w:w="850" w:type="dxa"/>
            <w:shd w:val="clear" w:color="auto" w:fill="auto"/>
          </w:tcPr>
          <w:p w14:paraId="187CDCCA" w14:textId="77777777" w:rsidR="00B96E1B" w:rsidRPr="00B96E1B" w:rsidRDefault="00B96E1B" w:rsidP="0076283F">
            <w:pPr>
              <w:jc w:val="right"/>
              <w:rPr>
                <w:sz w:val="20"/>
              </w:rPr>
            </w:pPr>
            <w:r w:rsidRPr="00B96E1B">
              <w:rPr>
                <w:sz w:val="20"/>
              </w:rPr>
              <w:t>4203</w:t>
            </w:r>
          </w:p>
        </w:tc>
        <w:tc>
          <w:tcPr>
            <w:tcW w:w="851" w:type="dxa"/>
            <w:shd w:val="clear" w:color="auto" w:fill="auto"/>
          </w:tcPr>
          <w:p w14:paraId="092EE4F0" w14:textId="77777777" w:rsidR="00B96E1B" w:rsidRPr="00B96E1B" w:rsidRDefault="00B96E1B" w:rsidP="0076283F">
            <w:pPr>
              <w:jc w:val="right"/>
              <w:rPr>
                <w:sz w:val="20"/>
              </w:rPr>
            </w:pPr>
            <w:r w:rsidRPr="00B96E1B">
              <w:rPr>
                <w:sz w:val="20"/>
              </w:rPr>
              <w:t>4651</w:t>
            </w:r>
          </w:p>
        </w:tc>
        <w:tc>
          <w:tcPr>
            <w:tcW w:w="845" w:type="dxa"/>
            <w:shd w:val="clear" w:color="auto" w:fill="auto"/>
          </w:tcPr>
          <w:p w14:paraId="67117D76" w14:textId="77777777" w:rsidR="00B96E1B" w:rsidRPr="00B96E1B" w:rsidRDefault="00B96E1B" w:rsidP="0076283F">
            <w:pPr>
              <w:jc w:val="right"/>
              <w:rPr>
                <w:sz w:val="20"/>
              </w:rPr>
            </w:pPr>
            <w:r w:rsidRPr="00B96E1B">
              <w:rPr>
                <w:sz w:val="20"/>
              </w:rPr>
              <w:t>4107</w:t>
            </w:r>
          </w:p>
        </w:tc>
        <w:tc>
          <w:tcPr>
            <w:tcW w:w="1564" w:type="dxa"/>
          </w:tcPr>
          <w:p w14:paraId="3B182635" w14:textId="5840CB89" w:rsidR="00B96E1B" w:rsidRPr="00B96E1B" w:rsidRDefault="005B0467" w:rsidP="0076283F">
            <w:pPr>
              <w:jc w:val="right"/>
              <w:rPr>
                <w:sz w:val="20"/>
              </w:rPr>
            </w:pPr>
            <w:r>
              <w:rPr>
                <w:sz w:val="20"/>
              </w:rPr>
              <w:t>-9,6</w:t>
            </w:r>
          </w:p>
        </w:tc>
      </w:tr>
      <w:tr w:rsidR="00B96E1B" w:rsidRPr="00B96E1B" w14:paraId="08788488" w14:textId="287E9F3D" w:rsidTr="001260B8">
        <w:trPr>
          <w:trHeight w:val="278"/>
          <w:jc w:val="center"/>
        </w:trPr>
        <w:tc>
          <w:tcPr>
            <w:tcW w:w="5813" w:type="dxa"/>
            <w:shd w:val="clear" w:color="auto" w:fill="auto"/>
          </w:tcPr>
          <w:p w14:paraId="1B83E41A" w14:textId="77777777" w:rsidR="00B96E1B" w:rsidRPr="00B96E1B" w:rsidRDefault="00B96E1B" w:rsidP="00B96E1B">
            <w:pPr>
              <w:jc w:val="both"/>
              <w:rPr>
                <w:bCs/>
                <w:sz w:val="20"/>
              </w:rPr>
            </w:pPr>
            <w:r w:rsidRPr="00B96E1B">
              <w:rPr>
                <w:bCs/>
                <w:sz w:val="20"/>
              </w:rPr>
              <w:t>Vidutinis mėnesinis kitų darbuotojų darbo užmokestis (Eur)</w:t>
            </w:r>
          </w:p>
        </w:tc>
        <w:tc>
          <w:tcPr>
            <w:tcW w:w="850" w:type="dxa"/>
            <w:shd w:val="clear" w:color="auto" w:fill="auto"/>
          </w:tcPr>
          <w:p w14:paraId="2DD281AD" w14:textId="77777777" w:rsidR="00B96E1B" w:rsidRPr="00B96E1B" w:rsidRDefault="00B96E1B" w:rsidP="0076283F">
            <w:pPr>
              <w:jc w:val="right"/>
              <w:rPr>
                <w:sz w:val="20"/>
              </w:rPr>
            </w:pPr>
            <w:r w:rsidRPr="00B96E1B">
              <w:rPr>
                <w:sz w:val="20"/>
              </w:rPr>
              <w:t>1008</w:t>
            </w:r>
          </w:p>
        </w:tc>
        <w:tc>
          <w:tcPr>
            <w:tcW w:w="851" w:type="dxa"/>
            <w:shd w:val="clear" w:color="auto" w:fill="auto"/>
          </w:tcPr>
          <w:p w14:paraId="7FC5A794" w14:textId="77777777" w:rsidR="00B96E1B" w:rsidRPr="00B96E1B" w:rsidRDefault="00B96E1B" w:rsidP="0076283F">
            <w:pPr>
              <w:jc w:val="right"/>
              <w:rPr>
                <w:sz w:val="20"/>
              </w:rPr>
            </w:pPr>
            <w:r w:rsidRPr="00B96E1B">
              <w:rPr>
                <w:sz w:val="20"/>
              </w:rPr>
              <w:t>1053</w:t>
            </w:r>
          </w:p>
        </w:tc>
        <w:tc>
          <w:tcPr>
            <w:tcW w:w="845" w:type="dxa"/>
            <w:shd w:val="clear" w:color="auto" w:fill="auto"/>
          </w:tcPr>
          <w:p w14:paraId="5CBAE1E2" w14:textId="77777777" w:rsidR="00B96E1B" w:rsidRPr="00B96E1B" w:rsidRDefault="00B96E1B" w:rsidP="0076283F">
            <w:pPr>
              <w:jc w:val="right"/>
              <w:rPr>
                <w:sz w:val="20"/>
              </w:rPr>
            </w:pPr>
            <w:r w:rsidRPr="00B96E1B">
              <w:rPr>
                <w:sz w:val="20"/>
              </w:rPr>
              <w:t>994</w:t>
            </w:r>
          </w:p>
        </w:tc>
        <w:tc>
          <w:tcPr>
            <w:tcW w:w="1564" w:type="dxa"/>
          </w:tcPr>
          <w:p w14:paraId="1CAFB4CA" w14:textId="48CD27D7" w:rsidR="00B96E1B" w:rsidRPr="00B96E1B" w:rsidRDefault="005B0467" w:rsidP="0076283F">
            <w:pPr>
              <w:jc w:val="right"/>
              <w:rPr>
                <w:sz w:val="20"/>
              </w:rPr>
            </w:pPr>
            <w:r>
              <w:rPr>
                <w:sz w:val="20"/>
              </w:rPr>
              <w:t>-4,3</w:t>
            </w:r>
          </w:p>
        </w:tc>
      </w:tr>
      <w:tr w:rsidR="00B96E1B" w:rsidRPr="00B96E1B" w14:paraId="2AA590BC" w14:textId="1BB763C1" w:rsidTr="001260B8">
        <w:trPr>
          <w:trHeight w:val="278"/>
          <w:jc w:val="center"/>
        </w:trPr>
        <w:tc>
          <w:tcPr>
            <w:tcW w:w="5813" w:type="dxa"/>
            <w:shd w:val="clear" w:color="auto" w:fill="auto"/>
          </w:tcPr>
          <w:p w14:paraId="1280F853" w14:textId="77777777" w:rsidR="00B96E1B" w:rsidRPr="00B96E1B" w:rsidRDefault="00B96E1B" w:rsidP="00B96E1B">
            <w:pPr>
              <w:jc w:val="both"/>
              <w:rPr>
                <w:bCs/>
                <w:sz w:val="20"/>
              </w:rPr>
            </w:pPr>
            <w:r w:rsidRPr="00B96E1B">
              <w:rPr>
                <w:bCs/>
                <w:sz w:val="20"/>
              </w:rPr>
              <w:t xml:space="preserve">Pardavimo pajamos, </w:t>
            </w:r>
            <w:proofErr w:type="spellStart"/>
            <w:r w:rsidRPr="00B96E1B">
              <w:rPr>
                <w:bCs/>
                <w:sz w:val="20"/>
              </w:rPr>
              <w:t>tenk</w:t>
            </w:r>
            <w:proofErr w:type="spellEnd"/>
            <w:r w:rsidRPr="00B96E1B">
              <w:rPr>
                <w:bCs/>
                <w:sz w:val="20"/>
              </w:rPr>
              <w:t xml:space="preserve">. vienam darbuotojui (tūkst. Eur / </w:t>
            </w:r>
            <w:proofErr w:type="spellStart"/>
            <w:r w:rsidRPr="00B96E1B">
              <w:rPr>
                <w:bCs/>
                <w:sz w:val="20"/>
              </w:rPr>
              <w:t>darb</w:t>
            </w:r>
            <w:proofErr w:type="spellEnd"/>
            <w:r w:rsidRPr="00B96E1B">
              <w:rPr>
                <w:bCs/>
                <w:sz w:val="20"/>
              </w:rPr>
              <w:t>.)</w:t>
            </w:r>
          </w:p>
        </w:tc>
        <w:tc>
          <w:tcPr>
            <w:tcW w:w="850" w:type="dxa"/>
            <w:shd w:val="clear" w:color="auto" w:fill="auto"/>
          </w:tcPr>
          <w:p w14:paraId="78C3545A" w14:textId="77777777" w:rsidR="00B96E1B" w:rsidRPr="00B96E1B" w:rsidRDefault="00B96E1B" w:rsidP="0076283F">
            <w:pPr>
              <w:jc w:val="right"/>
              <w:rPr>
                <w:sz w:val="20"/>
              </w:rPr>
            </w:pPr>
            <w:r w:rsidRPr="00B96E1B">
              <w:rPr>
                <w:sz w:val="20"/>
              </w:rPr>
              <w:t>25,4</w:t>
            </w:r>
          </w:p>
        </w:tc>
        <w:tc>
          <w:tcPr>
            <w:tcW w:w="851" w:type="dxa"/>
            <w:shd w:val="clear" w:color="auto" w:fill="auto"/>
          </w:tcPr>
          <w:p w14:paraId="7887F67B" w14:textId="77777777" w:rsidR="00B96E1B" w:rsidRPr="00B96E1B" w:rsidRDefault="00B96E1B" w:rsidP="0076283F">
            <w:pPr>
              <w:jc w:val="right"/>
              <w:rPr>
                <w:sz w:val="20"/>
              </w:rPr>
            </w:pPr>
            <w:r w:rsidRPr="00B96E1B">
              <w:rPr>
                <w:sz w:val="20"/>
              </w:rPr>
              <w:t>26,9</w:t>
            </w:r>
          </w:p>
        </w:tc>
        <w:tc>
          <w:tcPr>
            <w:tcW w:w="845" w:type="dxa"/>
            <w:shd w:val="clear" w:color="auto" w:fill="auto"/>
          </w:tcPr>
          <w:p w14:paraId="1307BB35" w14:textId="77777777" w:rsidR="00B96E1B" w:rsidRPr="00B96E1B" w:rsidRDefault="00B96E1B" w:rsidP="0076283F">
            <w:pPr>
              <w:jc w:val="right"/>
              <w:rPr>
                <w:sz w:val="20"/>
              </w:rPr>
            </w:pPr>
            <w:r w:rsidRPr="00B96E1B">
              <w:rPr>
                <w:sz w:val="20"/>
              </w:rPr>
              <w:t>25,3</w:t>
            </w:r>
          </w:p>
        </w:tc>
        <w:tc>
          <w:tcPr>
            <w:tcW w:w="1564" w:type="dxa"/>
          </w:tcPr>
          <w:p w14:paraId="657AA9B2" w14:textId="017E35D5" w:rsidR="00B96E1B" w:rsidRPr="00B96E1B" w:rsidRDefault="005B0467" w:rsidP="0076283F">
            <w:pPr>
              <w:jc w:val="right"/>
              <w:rPr>
                <w:sz w:val="20"/>
              </w:rPr>
            </w:pPr>
            <w:r>
              <w:rPr>
                <w:sz w:val="20"/>
              </w:rPr>
              <w:t>-5,6</w:t>
            </w:r>
          </w:p>
        </w:tc>
      </w:tr>
    </w:tbl>
    <w:p w14:paraId="05FC12B1" w14:textId="77777777" w:rsidR="00B96E1B" w:rsidRDefault="00B96E1B" w:rsidP="009F483B">
      <w:pPr>
        <w:rPr>
          <w:szCs w:val="24"/>
        </w:rPr>
      </w:pPr>
    </w:p>
    <w:p w14:paraId="5765C487" w14:textId="1A560583" w:rsidR="005B0467" w:rsidRDefault="005B0467" w:rsidP="005B0467">
      <w:pPr>
        <w:ind w:firstLine="709"/>
        <w:jc w:val="both"/>
      </w:pPr>
      <w:r>
        <w:t xml:space="preserve">Pagrindinės </w:t>
      </w:r>
      <w:r w:rsidRPr="005B0467">
        <w:t>veiklos pardavimo pajamos per 2020 m. yra sumažėjusios</w:t>
      </w:r>
      <w:r w:rsidR="00C5052C">
        <w:t xml:space="preserve"> 208,5 tūkst. Eur, jų gauta – 2080,6 tūkst. Eur (2019 m. – 2</w:t>
      </w:r>
      <w:r w:rsidRPr="005B0467">
        <w:t>289,1 tūkst. Eur)</w:t>
      </w:r>
      <w:r>
        <w:t>, t.</w:t>
      </w:r>
      <w:r w:rsidR="002E15ED">
        <w:t xml:space="preserve"> </w:t>
      </w:r>
      <w:r>
        <w:t>y. 9,1 proc. mažiau</w:t>
      </w:r>
      <w:r w:rsidRPr="005B0467">
        <w:t>.</w:t>
      </w:r>
      <w:r w:rsidRPr="005B0467">
        <w:rPr>
          <w:color w:val="FF0000"/>
        </w:rPr>
        <w:t xml:space="preserve"> </w:t>
      </w:r>
      <w:r w:rsidRPr="005B0467">
        <w:t>Per 2020 metus Bendrovės turto vertė padidėjo 190,0 tūks</w:t>
      </w:r>
      <w:r>
        <w:t>t</w:t>
      </w:r>
      <w:r w:rsidRPr="005B0467">
        <w:t>. Eur</w:t>
      </w:r>
      <w:r>
        <w:t>.</w:t>
      </w:r>
    </w:p>
    <w:p w14:paraId="5B5A54CD" w14:textId="09C2F901" w:rsidR="005B0467" w:rsidRPr="00C5052C" w:rsidRDefault="005B0467" w:rsidP="00C5052C">
      <w:pPr>
        <w:ind w:firstLine="709"/>
        <w:jc w:val="both"/>
        <w:rPr>
          <w:szCs w:val="24"/>
        </w:rPr>
      </w:pPr>
      <w:r w:rsidRPr="00C5052C">
        <w:t xml:space="preserve">Pagrindine pagrindinės veiklos pajamų sumažėjimo priežastimi tapo COVID-19 pandemija. </w:t>
      </w:r>
      <w:r w:rsidRPr="00C5052C">
        <w:rPr>
          <w:szCs w:val="24"/>
        </w:rPr>
        <w:t xml:space="preserve">Dėl smarkiai sumažėjusio keleivių skaičiaus, UAB „Jonavos autobusai“ patyrė </w:t>
      </w:r>
      <w:r w:rsidR="006461DC">
        <w:rPr>
          <w:szCs w:val="24"/>
        </w:rPr>
        <w:t>nuostolius</w:t>
      </w:r>
      <w:r w:rsidRPr="00C5052C">
        <w:rPr>
          <w:szCs w:val="24"/>
        </w:rPr>
        <w:t>. Paskelbus karantiną ženkliai sumažėjo keleivių, kurie naudojosi vietinio susisiekimo – tiek miesto, tie</w:t>
      </w:r>
      <w:r w:rsidR="00C5052C" w:rsidRPr="00C5052C">
        <w:rPr>
          <w:szCs w:val="24"/>
        </w:rPr>
        <w:t>k priemiestiniais – autobusais, mokymo įstaigose pradėjus nuotolinį ugdymą neliko važiuojančių moksleivių bei studentų.</w:t>
      </w:r>
    </w:p>
    <w:p w14:paraId="2EB966A6" w14:textId="2356D328" w:rsidR="00C5052C" w:rsidRDefault="00C5052C" w:rsidP="00C5052C">
      <w:pPr>
        <w:ind w:firstLine="709"/>
        <w:jc w:val="both"/>
      </w:pPr>
      <w:r w:rsidRPr="00C5052C">
        <w:t>Per ataskaiti</w:t>
      </w:r>
      <w:r>
        <w:t>nį laikotarpį</w:t>
      </w:r>
      <w:r w:rsidRPr="00C5052C">
        <w:t xml:space="preserve"> buvo aptarnaujami: 27 vietinio susisiekimo (19 priemiesčio, 8 miesto) maršrutai, 1 tolimojo susisiekimo maršrutas, 2 specialūs maršrutai. Per</w:t>
      </w:r>
      <w:r w:rsidRPr="00C5052C">
        <w:rPr>
          <w:color w:val="FF0000"/>
        </w:rPr>
        <w:t xml:space="preserve"> </w:t>
      </w:r>
      <w:r w:rsidRPr="00C5052C">
        <w:t>vieną dieną reguliariais reisais su keleiviais vidutiniškai nuvažiuota 4,1 tūkst. km</w:t>
      </w:r>
      <w:r w:rsidR="00D9196F">
        <w:t xml:space="preserve">., </w:t>
      </w:r>
      <w:r w:rsidRPr="00C5052C">
        <w:t xml:space="preserve">pervežta apie 2,8 tūkst. keleivių. Per 2020 </w:t>
      </w:r>
      <w:r w:rsidR="00D9196F">
        <w:t>m. reguliariais maršrutais bendrovė</w:t>
      </w:r>
      <w:r w:rsidRPr="00C5052C">
        <w:t xml:space="preserve"> pervežė 1,03 mln. keleivių (0,36 mln. miesto, 0,66 mln. priemiestiniais ir 0,002 mln. tolimuoju maršrutais). </w:t>
      </w:r>
    </w:p>
    <w:p w14:paraId="13F36A1D" w14:textId="2F3C4E1B" w:rsidR="00C5052C" w:rsidRPr="00C5052C" w:rsidRDefault="00C5052C" w:rsidP="00C5052C">
      <w:pPr>
        <w:ind w:firstLine="709"/>
        <w:jc w:val="both"/>
      </w:pPr>
      <w:r w:rsidRPr="00C5052C">
        <w:t>Savivaldybės kompensacijos miesto ir priemiestiniams maršrutams</w:t>
      </w:r>
      <w:r>
        <w:t xml:space="preserve"> 2020 m.</w:t>
      </w:r>
      <w:r w:rsidRPr="00C5052C">
        <w:t xml:space="preserve"> sudarė 820,4 tūkst. Eur ir lyginant su 2019 metais padidėjo 77,9 proc. (2019 m. - 461,2 tūkst. Eur). Rentabilumas nuo 2018 m. sudaro 1,0 proc. Už keleivių pervežimą (be savivaldybės kompensacijų) uždirbta</w:t>
      </w:r>
      <w:r w:rsidR="00D9196F">
        <w:t xml:space="preserve"> 1</w:t>
      </w:r>
      <w:r>
        <w:t>076,5 tūkst. Eur, t.</w:t>
      </w:r>
      <w:r w:rsidR="002E15ED">
        <w:t xml:space="preserve"> </w:t>
      </w:r>
      <w:r>
        <w:t>y</w:t>
      </w:r>
      <w:r w:rsidR="002E15ED">
        <w:t>.</w:t>
      </w:r>
      <w:r w:rsidRPr="00C5052C">
        <w:t xml:space="preserve"> 3</w:t>
      </w:r>
      <w:r w:rsidR="00D9196F">
        <w:t>8,7 proc. mažiau nei 2019 m. (1</w:t>
      </w:r>
      <w:r w:rsidRPr="00C5052C">
        <w:t>755,4 tūkst. Eur). Vežant keleivius reguliariais reisais (vietinio ir tolimojo susisiekimo maršrutais, be nuostolių kompensacijos)</w:t>
      </w:r>
      <w:r>
        <w:t xml:space="preserve"> buvo uždirbta 50,6 proc. visų b</w:t>
      </w:r>
      <w:r w:rsidRPr="00C5052C">
        <w:t>endrovės pajamų. Specialiųjų ir užsakomųjų reisų pajamos sumažėjo 66,8 proc. Bendrovės keleivių, pajamų ir ridos mažėjimas tiesiogiai koreliuojasi su pandemijos poveikiu.</w:t>
      </w:r>
    </w:p>
    <w:p w14:paraId="501C4DEB" w14:textId="378D2013" w:rsidR="00C5052C" w:rsidRPr="00C5052C" w:rsidRDefault="00C5052C" w:rsidP="00C5052C">
      <w:pPr>
        <w:ind w:firstLine="709"/>
        <w:jc w:val="both"/>
      </w:pPr>
      <w:r>
        <w:rPr>
          <w:shd w:val="clear" w:color="auto" w:fill="FFFFFF"/>
        </w:rPr>
        <w:t xml:space="preserve">Bendrovė </w:t>
      </w:r>
      <w:r w:rsidRPr="00C5052C">
        <w:rPr>
          <w:shd w:val="clear" w:color="auto" w:fill="FFFFFF"/>
        </w:rPr>
        <w:t>2020</w:t>
      </w:r>
      <w:r>
        <w:rPr>
          <w:shd w:val="clear" w:color="auto" w:fill="FFFFFF"/>
        </w:rPr>
        <w:t> m. patyrė 2</w:t>
      </w:r>
      <w:r w:rsidRPr="00C5052C">
        <w:rPr>
          <w:shd w:val="clear" w:color="auto" w:fill="FFFFFF"/>
        </w:rPr>
        <w:t>055,7 tūkst. Eur sąnaudų, t.</w:t>
      </w:r>
      <w:r w:rsidR="002E15ED">
        <w:rPr>
          <w:shd w:val="clear" w:color="auto" w:fill="FFFFFF"/>
        </w:rPr>
        <w:t xml:space="preserve"> </w:t>
      </w:r>
      <w:r w:rsidRPr="00C5052C">
        <w:rPr>
          <w:shd w:val="clear" w:color="auto" w:fill="FFFFFF"/>
        </w:rPr>
        <w:t>y. 216,4 tūkst.</w:t>
      </w:r>
      <w:r w:rsidRPr="00C5052C">
        <w:t xml:space="preserve"> Eur arba 9,5 proc. mažiau nei 2019</w:t>
      </w:r>
      <w:r w:rsidR="00FF1C9B">
        <w:t xml:space="preserve"> m</w:t>
      </w:r>
      <w:r w:rsidRPr="00C5052C">
        <w:t>.</w:t>
      </w:r>
      <w:r w:rsidRPr="00C5052C">
        <w:rPr>
          <w:color w:val="FF0000"/>
        </w:rPr>
        <w:t xml:space="preserve"> </w:t>
      </w:r>
      <w:r w:rsidRPr="00C5052C">
        <w:t>Bendroje sąnaudų struktūroje paslau</w:t>
      </w:r>
      <w:r>
        <w:t>gų pardavimo savikaina sudarė 1</w:t>
      </w:r>
      <w:r w:rsidRPr="00C5052C">
        <w:t>406,6</w:t>
      </w:r>
      <w:r w:rsidR="00FF1C9B">
        <w:t xml:space="preserve"> tūkst. Eur arba </w:t>
      </w:r>
      <w:r w:rsidRPr="00C5052C">
        <w:t>68,4</w:t>
      </w:r>
      <w:r w:rsidR="00FF1C9B">
        <w:t xml:space="preserve"> proc., b</w:t>
      </w:r>
      <w:r w:rsidRPr="00C5052C">
        <w:t>endrosios ir administracinės veiklos sąnaudos 637,5</w:t>
      </w:r>
      <w:r w:rsidR="00FF1C9B">
        <w:t xml:space="preserve"> tūkst. Eur arba </w:t>
      </w:r>
      <w:r w:rsidRPr="00C5052C">
        <w:t>31,0</w:t>
      </w:r>
      <w:r w:rsidR="00FF1C9B">
        <w:t xml:space="preserve"> proc.</w:t>
      </w:r>
      <w:r w:rsidRPr="00C5052C">
        <w:t>, finansinės veiklos sąnaudos 11,6 tūkst. Eur</w:t>
      </w:r>
      <w:r w:rsidR="00FF1C9B">
        <w:t xml:space="preserve"> arba </w:t>
      </w:r>
      <w:r w:rsidRPr="00C5052C">
        <w:t>0,6</w:t>
      </w:r>
      <w:r w:rsidR="00FF1C9B">
        <w:t xml:space="preserve"> proc</w:t>
      </w:r>
      <w:r w:rsidRPr="00C5052C">
        <w:t>.</w:t>
      </w:r>
    </w:p>
    <w:p w14:paraId="78DAFA8C" w14:textId="5522E58C" w:rsidR="00C5052C" w:rsidRPr="00FF1C9B" w:rsidRDefault="00FF1C9B" w:rsidP="00FF1C9B">
      <w:pPr>
        <w:ind w:firstLine="709"/>
        <w:jc w:val="both"/>
      </w:pPr>
      <w:r w:rsidRPr="00FF1C9B">
        <w:t>2020 m. pabaigoje bendrovės keleivinio transporto parką sudarė 40 eksploatuojamų autobusų. Vidutinis autobusų amžius metų pabaigoje – 13 metų.</w:t>
      </w:r>
    </w:p>
    <w:p w14:paraId="0FC6FBC7" w14:textId="6245F65C" w:rsidR="00FF1C9B" w:rsidRPr="00404647" w:rsidRDefault="00FF1C9B" w:rsidP="00FF1C9B">
      <w:pPr>
        <w:ind w:firstLine="709"/>
        <w:jc w:val="both"/>
        <w:rPr>
          <w:rFonts w:ascii="Arial" w:hAnsi="Arial" w:cs="Arial"/>
        </w:rPr>
      </w:pPr>
      <w:r w:rsidRPr="00FF1C9B">
        <w:t xml:space="preserve">2020 m. </w:t>
      </w:r>
      <w:r>
        <w:t>b</w:t>
      </w:r>
      <w:r w:rsidRPr="00FF1C9B">
        <w:t>endrovė gavo 23,6 tūkst. Eur pajamų už tolimojo susisiekimo maršrutinių autobusų įvažiavimus į Jonavos autobusų stotį ir rajono teritorijoje esančių autobuso stotelių eismo tvarkaraščių priežiūrą. Per metus šios pajamos sumažėjo 38,7 proc.</w:t>
      </w:r>
      <w:r w:rsidRPr="00FF1C9B">
        <w:rPr>
          <w:color w:val="FF0000"/>
        </w:rPr>
        <w:t xml:space="preserve"> </w:t>
      </w:r>
    </w:p>
    <w:p w14:paraId="491466D2" w14:textId="7263B871" w:rsidR="00C5052C" w:rsidRDefault="00FF1C9B" w:rsidP="0029179D">
      <w:pPr>
        <w:ind w:firstLine="709"/>
        <w:jc w:val="both"/>
      </w:pPr>
      <w:r w:rsidRPr="00FF1C9B">
        <w:t xml:space="preserve">2020 m. pabaigoje </w:t>
      </w:r>
      <w:r w:rsidR="006E522B">
        <w:t xml:space="preserve">vidutinis sąrašinis darbuotojų skaičius </w:t>
      </w:r>
      <w:r w:rsidR="002E15ED">
        <w:t>‒</w:t>
      </w:r>
      <w:r w:rsidRPr="00FF1C9B">
        <w:t xml:space="preserve"> </w:t>
      </w:r>
      <w:r w:rsidR="006E522B">
        <w:t>82</w:t>
      </w:r>
      <w:r w:rsidR="00D9196F">
        <w:t xml:space="preserve"> darbuotojai ( 2019 m. </w:t>
      </w:r>
      <w:r w:rsidR="006E522B">
        <w:t>–</w:t>
      </w:r>
      <w:r w:rsidR="00D9196F">
        <w:t xml:space="preserve"> </w:t>
      </w:r>
      <w:r w:rsidR="006E522B">
        <w:t>85).</w:t>
      </w:r>
    </w:p>
    <w:p w14:paraId="5C9FF8A0" w14:textId="1E2C336F" w:rsidR="006E522B" w:rsidRPr="0029179D" w:rsidRDefault="006E522B" w:rsidP="0029179D">
      <w:pPr>
        <w:ind w:firstLine="709"/>
        <w:jc w:val="both"/>
      </w:pPr>
      <w:r>
        <w:t xml:space="preserve">2020 m. bendrovė baigė pelningai.  Veiklos rezultatas buvo </w:t>
      </w:r>
      <w:r w:rsidRPr="005B0467">
        <w:t xml:space="preserve">23,7 tūkst. Eur grynojo pelno (2019 m. </w:t>
      </w:r>
      <w:r>
        <w:t>– 19,6 tūkst. Eur grynojo pelno), t.</w:t>
      </w:r>
      <w:r w:rsidR="002E15ED">
        <w:t xml:space="preserve"> </w:t>
      </w:r>
      <w:r>
        <w:t>y</w:t>
      </w:r>
      <w:r w:rsidR="002E15ED">
        <w:t>.</w:t>
      </w:r>
      <w:r>
        <w:t xml:space="preserve"> grynasis pelnas 2020 m. augo 20,9 proc. </w:t>
      </w:r>
    </w:p>
    <w:p w14:paraId="41C9C666" w14:textId="20BDE831" w:rsidR="002E58A5" w:rsidRDefault="0029179D" w:rsidP="00A550F1">
      <w:pPr>
        <w:ind w:firstLine="709"/>
        <w:jc w:val="both"/>
        <w:rPr>
          <w:szCs w:val="24"/>
        </w:rPr>
      </w:pPr>
      <w:r w:rsidRPr="001260B8">
        <w:rPr>
          <w:szCs w:val="24"/>
        </w:rPr>
        <w:t>UAB ‚,Jonavos autobusai</w:t>
      </w:r>
      <w:r w:rsidR="00A550F1" w:rsidRPr="001260B8">
        <w:rPr>
          <w:szCs w:val="24"/>
        </w:rPr>
        <w:t xml:space="preserve">“ </w:t>
      </w:r>
      <w:r w:rsidR="007063A1" w:rsidRPr="001260B8">
        <w:rPr>
          <w:szCs w:val="24"/>
        </w:rPr>
        <w:t>2020 -2023</w:t>
      </w:r>
      <w:r w:rsidR="00A550F1" w:rsidRPr="001260B8">
        <w:rPr>
          <w:szCs w:val="24"/>
        </w:rPr>
        <w:t xml:space="preserve"> m. stra</w:t>
      </w:r>
      <w:r w:rsidR="007063A1" w:rsidRPr="001260B8">
        <w:rPr>
          <w:szCs w:val="24"/>
        </w:rPr>
        <w:t>teginiame veiklos plane numatytus tikslus</w:t>
      </w:r>
      <w:r w:rsidR="001260B8">
        <w:rPr>
          <w:szCs w:val="24"/>
        </w:rPr>
        <w:t xml:space="preserve"> įvykdė 66,7 proc</w:t>
      </w:r>
      <w:r w:rsidR="002E58A5" w:rsidRPr="001260B8">
        <w:rPr>
          <w:szCs w:val="24"/>
        </w:rPr>
        <w:t>.</w:t>
      </w:r>
      <w:r w:rsidR="00A550F1" w:rsidRPr="001260B8">
        <w:rPr>
          <w:szCs w:val="24"/>
        </w:rPr>
        <w:t xml:space="preserve"> Pridedama papildoma 2020 m. strateginių tikslų vykdymo informacija.</w:t>
      </w:r>
      <w:r w:rsidR="00A550F1">
        <w:rPr>
          <w:szCs w:val="24"/>
        </w:rPr>
        <w:t xml:space="preserve"> </w:t>
      </w:r>
      <w:r w:rsidR="002E58A5" w:rsidRPr="002E58A5">
        <w:rPr>
          <w:szCs w:val="24"/>
        </w:rPr>
        <w:t xml:space="preserve"> </w:t>
      </w:r>
    </w:p>
    <w:p w14:paraId="3C66E7FE" w14:textId="4749D2D1" w:rsidR="00F21447" w:rsidRDefault="00A550F1" w:rsidP="007063A1">
      <w:pPr>
        <w:ind w:firstLine="709"/>
        <w:jc w:val="both"/>
      </w:pPr>
      <w:r>
        <w:rPr>
          <w:szCs w:val="24"/>
        </w:rPr>
        <w:t>2020</w:t>
      </w:r>
      <w:r w:rsidR="002E58A5" w:rsidRPr="002E58A5">
        <w:rPr>
          <w:szCs w:val="24"/>
        </w:rPr>
        <w:t xml:space="preserve"> m. </w:t>
      </w:r>
      <w:r>
        <w:rPr>
          <w:szCs w:val="24"/>
        </w:rPr>
        <w:t xml:space="preserve">bendrovė įvykdė </w:t>
      </w:r>
      <w:r w:rsidR="00F21447">
        <w:rPr>
          <w:szCs w:val="24"/>
        </w:rPr>
        <w:t xml:space="preserve">akcininko </w:t>
      </w:r>
      <w:r w:rsidR="007063A1">
        <w:rPr>
          <w:szCs w:val="24"/>
        </w:rPr>
        <w:t xml:space="preserve">Lūkesčių rašte </w:t>
      </w:r>
      <w:r w:rsidR="00F21447">
        <w:rPr>
          <w:szCs w:val="24"/>
        </w:rPr>
        <w:t>bendrovei keliamus</w:t>
      </w:r>
      <w:r w:rsidR="0029179D">
        <w:rPr>
          <w:szCs w:val="24"/>
        </w:rPr>
        <w:t xml:space="preserve"> nefinansinius</w:t>
      </w:r>
      <w:r w:rsidR="00F21447">
        <w:rPr>
          <w:szCs w:val="24"/>
        </w:rPr>
        <w:t xml:space="preserve"> lūkesčius</w:t>
      </w:r>
      <w:r w:rsidR="0029179D">
        <w:rPr>
          <w:szCs w:val="24"/>
        </w:rPr>
        <w:t>. F</w:t>
      </w:r>
      <w:r w:rsidR="007063A1">
        <w:rPr>
          <w:szCs w:val="24"/>
        </w:rPr>
        <w:t>inansinius rodiklius</w:t>
      </w:r>
      <w:r w:rsidR="0029179D">
        <w:rPr>
          <w:szCs w:val="24"/>
        </w:rPr>
        <w:t xml:space="preserve"> bendrovė vykdė</w:t>
      </w:r>
      <w:r w:rsidR="007063A1">
        <w:rPr>
          <w:szCs w:val="24"/>
        </w:rPr>
        <w:t>: finansinių skolų ir nuosavo kapitalo santykinis dydis</w:t>
      </w:r>
      <w:r w:rsidR="0029179D">
        <w:rPr>
          <w:szCs w:val="24"/>
        </w:rPr>
        <w:t xml:space="preserve"> 0,9</w:t>
      </w:r>
      <w:r w:rsidR="00481237">
        <w:rPr>
          <w:szCs w:val="24"/>
        </w:rPr>
        <w:t xml:space="preserve"> (tikslas ≤ 0,8</w:t>
      </w:r>
      <w:r w:rsidR="00481237" w:rsidRPr="0099510B">
        <w:rPr>
          <w:szCs w:val="24"/>
        </w:rPr>
        <w:t>), n</w:t>
      </w:r>
      <w:r w:rsidR="0029179D" w:rsidRPr="0099510B">
        <w:rPr>
          <w:szCs w:val="24"/>
        </w:rPr>
        <w:t xml:space="preserve">uosavo kapitalo </w:t>
      </w:r>
      <w:r w:rsidR="001260B8" w:rsidRPr="0099510B">
        <w:rPr>
          <w:szCs w:val="24"/>
        </w:rPr>
        <w:t>grąža (ROE) – 2,1 (tikslas &gt; 0</w:t>
      </w:r>
      <w:r w:rsidR="0029179D" w:rsidRPr="0099510B">
        <w:rPr>
          <w:szCs w:val="24"/>
        </w:rPr>
        <w:t xml:space="preserve">), </w:t>
      </w:r>
      <w:r w:rsidR="0099510B">
        <w:rPr>
          <w:szCs w:val="24"/>
        </w:rPr>
        <w:t>grynojo pelno marža</w:t>
      </w:r>
      <w:r w:rsidR="0029179D" w:rsidRPr="0099510B">
        <w:rPr>
          <w:szCs w:val="24"/>
        </w:rPr>
        <w:t xml:space="preserve"> – 1,1</w:t>
      </w:r>
      <w:r w:rsidR="001260B8" w:rsidRPr="0099510B">
        <w:rPr>
          <w:szCs w:val="24"/>
        </w:rPr>
        <w:t xml:space="preserve"> (tikslas ≥ 1</w:t>
      </w:r>
      <w:r w:rsidR="00481237" w:rsidRPr="0099510B">
        <w:rPr>
          <w:szCs w:val="24"/>
        </w:rPr>
        <w:t>).</w:t>
      </w:r>
    </w:p>
    <w:p w14:paraId="7847C74B" w14:textId="030C5B2D" w:rsidR="002E58A5" w:rsidRPr="002E58A5" w:rsidRDefault="0062008D" w:rsidP="00803FC3">
      <w:pPr>
        <w:ind w:firstLine="709"/>
        <w:jc w:val="both"/>
        <w:rPr>
          <w:szCs w:val="24"/>
        </w:rPr>
      </w:pPr>
      <w:r>
        <w:rPr>
          <w:szCs w:val="24"/>
        </w:rPr>
        <w:t>2020 m. UAB „Jonavos autobusai</w:t>
      </w:r>
      <w:r w:rsidR="002E58A5" w:rsidRPr="002E58A5">
        <w:rPr>
          <w:szCs w:val="24"/>
        </w:rPr>
        <w:t>“ veikl</w:t>
      </w:r>
      <w:r w:rsidR="00481237">
        <w:rPr>
          <w:szCs w:val="24"/>
        </w:rPr>
        <w:t xml:space="preserve">os rodiklių </w:t>
      </w:r>
      <w:r w:rsidR="002E58A5" w:rsidRPr="002E58A5">
        <w:rPr>
          <w:szCs w:val="24"/>
        </w:rPr>
        <w:t xml:space="preserve"> vertinimas:</w:t>
      </w:r>
    </w:p>
    <w:p w14:paraId="74B586F2" w14:textId="558BECF0" w:rsidR="002E58A5" w:rsidRPr="002E58A5" w:rsidRDefault="002E58A5" w:rsidP="002E58A5">
      <w:pPr>
        <w:jc w:val="both"/>
        <w:rPr>
          <w:szCs w:val="24"/>
        </w:rPr>
      </w:pPr>
      <w:r w:rsidRPr="002E58A5">
        <w:rPr>
          <w:szCs w:val="24"/>
        </w:rPr>
        <w:t xml:space="preserve">1. Labai gerai ir gerai vertinami rodikliai: </w:t>
      </w:r>
      <w:r w:rsidR="00D9196F">
        <w:rPr>
          <w:szCs w:val="24"/>
        </w:rPr>
        <w:t>nuosavo kapitalo grąža</w:t>
      </w:r>
      <w:r w:rsidR="0099510B">
        <w:rPr>
          <w:szCs w:val="24"/>
        </w:rPr>
        <w:t xml:space="preserve"> ir grynojo pelno</w:t>
      </w:r>
      <w:r w:rsidR="001260B8">
        <w:rPr>
          <w:szCs w:val="24"/>
        </w:rPr>
        <w:t xml:space="preserve"> marža.</w:t>
      </w:r>
    </w:p>
    <w:p w14:paraId="3158AA7B" w14:textId="39A0BCDC" w:rsidR="001803F3" w:rsidRDefault="002E58A5" w:rsidP="002E58A5">
      <w:pPr>
        <w:jc w:val="both"/>
        <w:rPr>
          <w:szCs w:val="24"/>
        </w:rPr>
      </w:pPr>
      <w:r w:rsidRPr="002E58A5">
        <w:rPr>
          <w:szCs w:val="24"/>
        </w:rPr>
        <w:t xml:space="preserve">2. Blogai ir labai blogai vertinami rodikliai: </w:t>
      </w:r>
      <w:r w:rsidR="00D9196F">
        <w:rPr>
          <w:szCs w:val="24"/>
        </w:rPr>
        <w:t>finansinių skolų ir nuosavo kapitalo santykinis dydis</w:t>
      </w:r>
      <w:r w:rsidR="001803F3">
        <w:rPr>
          <w:szCs w:val="24"/>
        </w:rPr>
        <w:t>.</w:t>
      </w:r>
    </w:p>
    <w:p w14:paraId="776EC3A0" w14:textId="70F39E65" w:rsidR="002E58A5" w:rsidRPr="002E58A5" w:rsidRDefault="002E58A5" w:rsidP="001803F3">
      <w:pPr>
        <w:ind w:firstLine="709"/>
        <w:jc w:val="both"/>
        <w:rPr>
          <w:szCs w:val="24"/>
        </w:rPr>
      </w:pPr>
      <w:r w:rsidRPr="002E58A5">
        <w:rPr>
          <w:szCs w:val="24"/>
        </w:rPr>
        <w:t xml:space="preserve">Bendrovėje </w:t>
      </w:r>
      <w:r w:rsidR="006D35D5">
        <w:rPr>
          <w:szCs w:val="24"/>
        </w:rPr>
        <w:t xml:space="preserve">finansinių ataskaitų </w:t>
      </w:r>
      <w:r w:rsidRPr="002E58A5">
        <w:rPr>
          <w:szCs w:val="24"/>
        </w:rPr>
        <w:t>auditą atliko UAB „Apskaitos ir mokesčių konsultacijos“.</w:t>
      </w:r>
    </w:p>
    <w:p w14:paraId="20FD8E81" w14:textId="180A222E" w:rsidR="001803F3" w:rsidRDefault="002E58A5" w:rsidP="0012764A">
      <w:pPr>
        <w:ind w:firstLine="709"/>
        <w:jc w:val="both"/>
        <w:rPr>
          <w:szCs w:val="24"/>
        </w:rPr>
      </w:pPr>
      <w:r w:rsidRPr="002E58A5">
        <w:rPr>
          <w:szCs w:val="24"/>
        </w:rPr>
        <w:t>Sprendimo projektas su bendrovės direktoriumi suderintas el. paštu.</w:t>
      </w:r>
    </w:p>
    <w:p w14:paraId="3728B76F" w14:textId="77777777" w:rsidR="0012764A" w:rsidRPr="002E58A5" w:rsidRDefault="0012764A" w:rsidP="0012764A">
      <w:pPr>
        <w:ind w:firstLine="709"/>
        <w:jc w:val="both"/>
        <w:rPr>
          <w:szCs w:val="24"/>
        </w:rPr>
      </w:pPr>
    </w:p>
    <w:p w14:paraId="352C0680" w14:textId="77777777" w:rsidR="00502C19" w:rsidRDefault="00502C19" w:rsidP="002E58A5">
      <w:pPr>
        <w:pStyle w:val="Sraopastraipa"/>
        <w:numPr>
          <w:ilvl w:val="0"/>
          <w:numId w:val="8"/>
        </w:numPr>
        <w:jc w:val="both"/>
        <w:rPr>
          <w:rFonts w:eastAsia="Calibri"/>
          <w:b/>
          <w:szCs w:val="24"/>
          <w:lang w:eastAsia="lt-LT"/>
        </w:rPr>
      </w:pPr>
      <w:r w:rsidRPr="00082D91">
        <w:rPr>
          <w:rFonts w:eastAsia="Calibri"/>
          <w:b/>
          <w:szCs w:val="24"/>
          <w:lang w:eastAsia="lt-LT"/>
        </w:rPr>
        <w:t>Teisinis reglamentavimas, kuriuo vadovaujantis parengtas sprendimo projektas.</w:t>
      </w:r>
      <w:r>
        <w:rPr>
          <w:rFonts w:eastAsia="Calibri"/>
          <w:b/>
          <w:szCs w:val="24"/>
          <w:lang w:eastAsia="lt-LT"/>
        </w:rPr>
        <w:t xml:space="preserve"> Keičiami/naikinami teisės aktai priimant sprendimą.</w:t>
      </w:r>
    </w:p>
    <w:p w14:paraId="238E2CC3" w14:textId="7BF62154" w:rsidR="00233626" w:rsidRPr="00233626" w:rsidRDefault="00233626" w:rsidP="00233626">
      <w:pPr>
        <w:ind w:firstLine="709"/>
        <w:jc w:val="both"/>
        <w:rPr>
          <w:szCs w:val="24"/>
        </w:rPr>
      </w:pPr>
      <w:r w:rsidRPr="00233626">
        <w:rPr>
          <w:szCs w:val="24"/>
        </w:rPr>
        <w:t xml:space="preserve">Lietuvos Respublikos vietos savivaldos įstatymo 16 straipsnio 2 dalies 19 punktas nustato, kad išimtinė savivaldybės tarybos kompetencija yra sprendimų priėmimas dėl savivaldybės valdomų bendrovių metinių veiklos ataskaitų ir </w:t>
      </w:r>
      <w:r w:rsidR="00062AF0">
        <w:t>2019 m. rugsėjo 19</w:t>
      </w:r>
      <w:r>
        <w:t xml:space="preserve"> d. Jonavos rajono savivaldyb</w:t>
      </w:r>
      <w:r w:rsidR="00062AF0">
        <w:t>ės tarybos sprendimu Nr. 1TS-170</w:t>
      </w:r>
      <w:r>
        <w:t xml:space="preserve"> patvirtinto Jonavos rajono savivaldybės tarybos veiklos reglamento 15.6 punktas</w:t>
      </w:r>
      <w:r w:rsidRPr="00233626">
        <w:rPr>
          <w:szCs w:val="24"/>
        </w:rPr>
        <w:t xml:space="preserve"> numato, </w:t>
      </w:r>
      <w:r w:rsidR="00D4521D">
        <w:rPr>
          <w:szCs w:val="24"/>
        </w:rPr>
        <w:t xml:space="preserve">kad </w:t>
      </w:r>
      <w:r w:rsidRPr="00233626">
        <w:rPr>
          <w:szCs w:val="24"/>
        </w:rPr>
        <w:t>savivaldybės valdomos įmonės ir organizacijos veiklos ataskaitas pateikia tarybai.</w:t>
      </w:r>
    </w:p>
    <w:p w14:paraId="51E33653" w14:textId="77777777" w:rsidR="002E58A5" w:rsidRPr="00082D91" w:rsidRDefault="002E58A5" w:rsidP="002E58A5">
      <w:pPr>
        <w:pStyle w:val="Sraopastraipa"/>
        <w:ind w:left="1069"/>
        <w:jc w:val="both"/>
        <w:rPr>
          <w:rFonts w:eastAsia="Calibri"/>
          <w:b/>
          <w:szCs w:val="24"/>
          <w:lang w:eastAsia="lt-LT"/>
        </w:rPr>
      </w:pPr>
    </w:p>
    <w:p w14:paraId="423CDD38" w14:textId="77777777" w:rsidR="00502C19" w:rsidRPr="00082D91" w:rsidRDefault="00502C19" w:rsidP="002E58A5">
      <w:pPr>
        <w:pStyle w:val="Sraopastraipa"/>
        <w:numPr>
          <w:ilvl w:val="0"/>
          <w:numId w:val="8"/>
        </w:numPr>
        <w:jc w:val="both"/>
        <w:outlineLvl w:val="5"/>
        <w:rPr>
          <w:rFonts w:eastAsia="Calibri"/>
          <w:b/>
          <w:szCs w:val="24"/>
          <w:lang w:eastAsia="lt-LT"/>
        </w:rPr>
      </w:pPr>
      <w:r>
        <w:rPr>
          <w:rFonts w:eastAsia="Calibri"/>
          <w:b/>
          <w:szCs w:val="24"/>
          <w:lang w:eastAsia="lt-LT"/>
        </w:rPr>
        <w:t>Laukiami sprendimo priėmimo rezultatai.</w:t>
      </w:r>
    </w:p>
    <w:p w14:paraId="14A7F8C7" w14:textId="7336C351" w:rsidR="002E58A5" w:rsidRDefault="00803FC3" w:rsidP="0012764A">
      <w:pPr>
        <w:ind w:firstLine="709"/>
        <w:jc w:val="both"/>
      </w:pPr>
      <w:r>
        <w:t>Neigiamų pasekmių nenumatoma. Rajono savivaldybės taryba išklausiusi bendr</w:t>
      </w:r>
      <w:r w:rsidR="0093462E">
        <w:t xml:space="preserve">ovės </w:t>
      </w:r>
      <w:r w:rsidR="00D9196F">
        <w:t>veiklos ataskaitą</w:t>
      </w:r>
      <w:r>
        <w:t xml:space="preserve"> bei atsakymus į tarybos narių paklausimus, priim</w:t>
      </w:r>
      <w:r w:rsidR="0093462E">
        <w:t xml:space="preserve">s sprendimą dėl bendrovės 2020 m. </w:t>
      </w:r>
      <w:r w:rsidR="00D9196F">
        <w:t>veiklos ataskaitos</w:t>
      </w:r>
      <w:r>
        <w:t>.</w:t>
      </w:r>
    </w:p>
    <w:p w14:paraId="3011FE6F" w14:textId="77777777" w:rsidR="0012764A" w:rsidRPr="0012764A" w:rsidRDefault="0012764A" w:rsidP="0012764A">
      <w:pPr>
        <w:ind w:firstLine="709"/>
        <w:jc w:val="both"/>
      </w:pPr>
    </w:p>
    <w:p w14:paraId="6A8223CF" w14:textId="77777777" w:rsidR="00502C19" w:rsidRPr="00082D91" w:rsidRDefault="00502C19" w:rsidP="002E58A5">
      <w:pPr>
        <w:pStyle w:val="Sraopastraipa"/>
        <w:numPr>
          <w:ilvl w:val="0"/>
          <w:numId w:val="8"/>
        </w:numPr>
        <w:jc w:val="both"/>
        <w:outlineLvl w:val="5"/>
        <w:rPr>
          <w:rFonts w:eastAsia="Calibri"/>
          <w:b/>
          <w:szCs w:val="24"/>
          <w:lang w:eastAsia="lt-LT"/>
        </w:rPr>
      </w:pPr>
      <w:r>
        <w:rPr>
          <w:rFonts w:eastAsia="Calibri"/>
          <w:b/>
          <w:szCs w:val="24"/>
          <w:lang w:eastAsia="lt-LT"/>
        </w:rPr>
        <w:t>Lėšų poreikis ir šaltiniai reikalingi sprendimo priėmimui.</w:t>
      </w:r>
    </w:p>
    <w:p w14:paraId="3831C505" w14:textId="24EC4B1B" w:rsidR="00803FC3" w:rsidRDefault="00803FC3" w:rsidP="0012764A">
      <w:pPr>
        <w:ind w:firstLine="709"/>
        <w:jc w:val="both"/>
        <w:rPr>
          <w:szCs w:val="24"/>
          <w:lang w:eastAsia="lt-LT"/>
        </w:rPr>
      </w:pPr>
      <w:r>
        <w:rPr>
          <w:szCs w:val="24"/>
          <w:lang w:eastAsia="lt-LT"/>
        </w:rPr>
        <w:t>Sprendimo priėmimui papildomų lėšų poreikio nėra.</w:t>
      </w:r>
    </w:p>
    <w:p w14:paraId="3D5AAB63" w14:textId="77777777" w:rsidR="0012764A" w:rsidRDefault="0012764A" w:rsidP="0012764A">
      <w:pPr>
        <w:ind w:firstLine="709"/>
        <w:jc w:val="both"/>
        <w:rPr>
          <w:szCs w:val="24"/>
          <w:lang w:eastAsia="lt-LT"/>
        </w:rPr>
      </w:pPr>
    </w:p>
    <w:p w14:paraId="4FD49B84" w14:textId="0E0EE0D1" w:rsidR="00502C19" w:rsidRDefault="00502C19" w:rsidP="002E58A5">
      <w:pPr>
        <w:pStyle w:val="Sraopastraipa"/>
        <w:numPr>
          <w:ilvl w:val="0"/>
          <w:numId w:val="8"/>
        </w:numPr>
        <w:jc w:val="both"/>
        <w:outlineLvl w:val="5"/>
        <w:rPr>
          <w:rFonts w:eastAsia="Calibri"/>
          <w:b/>
          <w:bCs/>
          <w:szCs w:val="24"/>
          <w:lang w:eastAsia="lt-LT"/>
        </w:rPr>
      </w:pPr>
      <w:r w:rsidRPr="00082D91">
        <w:rPr>
          <w:rFonts w:eastAsia="Calibri"/>
          <w:b/>
          <w:bCs/>
          <w:szCs w:val="24"/>
          <w:lang w:eastAsia="lt-LT"/>
        </w:rPr>
        <w:t xml:space="preserve">Antikorupcinis vertinimas.         </w:t>
      </w:r>
    </w:p>
    <w:p w14:paraId="6C3AB3A8" w14:textId="70DCC74C" w:rsidR="00803FC3" w:rsidRDefault="00803FC3" w:rsidP="0012764A">
      <w:pPr>
        <w:ind w:firstLine="709"/>
        <w:jc w:val="both"/>
        <w:rPr>
          <w:szCs w:val="24"/>
        </w:rPr>
      </w:pPr>
      <w:r w:rsidRPr="00803FC3">
        <w:rPr>
          <w:szCs w:val="24"/>
        </w:rPr>
        <w:t xml:space="preserve">Vadovaujantis LR korupcijos prevencijos įstatymo nuostatomis, sprendimo projekto antikorupcinis vertinimas neatliekamas, nes sprendime nenumatoma reguliuoti visuomeninius santykius, numatytus šio įstatymo 8 straipsnio 1 dalyje. </w:t>
      </w:r>
    </w:p>
    <w:p w14:paraId="5A6DBE3E" w14:textId="77777777" w:rsidR="0012764A" w:rsidRPr="0012764A" w:rsidRDefault="0012764A" w:rsidP="0012764A">
      <w:pPr>
        <w:ind w:firstLine="709"/>
        <w:jc w:val="both"/>
        <w:rPr>
          <w:szCs w:val="24"/>
        </w:rPr>
      </w:pPr>
    </w:p>
    <w:p w14:paraId="7891BAF1" w14:textId="77777777" w:rsidR="00803FC3" w:rsidRDefault="00803FC3" w:rsidP="00803FC3">
      <w:pPr>
        <w:ind w:firstLine="709"/>
        <w:jc w:val="both"/>
        <w:rPr>
          <w:szCs w:val="24"/>
        </w:rPr>
      </w:pPr>
      <w:r>
        <w:rPr>
          <w:szCs w:val="24"/>
        </w:rPr>
        <w:t>PRIDEDAMA:</w:t>
      </w:r>
    </w:p>
    <w:p w14:paraId="09BDB394" w14:textId="1D641D74" w:rsidR="00803FC3" w:rsidRDefault="00803FC3" w:rsidP="00803FC3">
      <w:pPr>
        <w:ind w:firstLine="709"/>
        <w:jc w:val="both"/>
        <w:rPr>
          <w:szCs w:val="24"/>
        </w:rPr>
      </w:pPr>
      <w:r>
        <w:rPr>
          <w:szCs w:val="24"/>
        </w:rPr>
        <w:t xml:space="preserve">1. </w:t>
      </w:r>
      <w:r w:rsidRPr="00770212">
        <w:rPr>
          <w:szCs w:val="24"/>
        </w:rPr>
        <w:t>UAB ,,Jonavo</w:t>
      </w:r>
      <w:r w:rsidR="00D9196F" w:rsidRPr="00770212">
        <w:rPr>
          <w:szCs w:val="24"/>
        </w:rPr>
        <w:t>s autobusai</w:t>
      </w:r>
      <w:r w:rsidR="0093462E" w:rsidRPr="00770212">
        <w:rPr>
          <w:szCs w:val="24"/>
        </w:rPr>
        <w:t xml:space="preserve">” </w:t>
      </w:r>
      <w:r w:rsidR="00770212" w:rsidRPr="00770212">
        <w:rPr>
          <w:szCs w:val="24"/>
        </w:rPr>
        <w:t>2021 m. kovo 30</w:t>
      </w:r>
      <w:r w:rsidR="0093462E" w:rsidRPr="00770212">
        <w:rPr>
          <w:szCs w:val="24"/>
        </w:rPr>
        <w:t xml:space="preserve"> d. raštas Nr. </w:t>
      </w:r>
      <w:r w:rsidR="00770212" w:rsidRPr="00770212">
        <w:rPr>
          <w:szCs w:val="24"/>
        </w:rPr>
        <w:t>S-48</w:t>
      </w:r>
      <w:r w:rsidRPr="00770212">
        <w:rPr>
          <w:szCs w:val="24"/>
        </w:rPr>
        <w:t xml:space="preserve"> ,,</w:t>
      </w:r>
      <w:r w:rsidRPr="00770212">
        <w:t xml:space="preserve"> </w:t>
      </w:r>
      <w:r w:rsidR="0093462E" w:rsidRPr="00770212">
        <w:rPr>
          <w:szCs w:val="24"/>
          <w:lang w:eastAsia="lt-LT"/>
        </w:rPr>
        <w:t xml:space="preserve">Dėl </w:t>
      </w:r>
      <w:r w:rsidR="00770212" w:rsidRPr="00770212">
        <w:rPr>
          <w:szCs w:val="24"/>
          <w:lang w:eastAsia="lt-LT"/>
        </w:rPr>
        <w:t>dokumentų pateikimo</w:t>
      </w:r>
      <w:r w:rsidR="0093462E" w:rsidRPr="00770212">
        <w:rPr>
          <w:szCs w:val="24"/>
          <w:lang w:eastAsia="lt-LT"/>
        </w:rPr>
        <w:t>“</w:t>
      </w:r>
      <w:r w:rsidR="00770212" w:rsidRPr="00770212">
        <w:rPr>
          <w:szCs w:val="24"/>
        </w:rPr>
        <w:t>, 36</w:t>
      </w:r>
      <w:r w:rsidR="0093462E" w:rsidRPr="00770212">
        <w:rPr>
          <w:szCs w:val="24"/>
        </w:rPr>
        <w:t xml:space="preserve"> lapai</w:t>
      </w:r>
      <w:r w:rsidRPr="00770212">
        <w:rPr>
          <w:szCs w:val="24"/>
        </w:rPr>
        <w:t>;</w:t>
      </w:r>
    </w:p>
    <w:p w14:paraId="4D9EEA57" w14:textId="2A634D0B" w:rsidR="00803FC3" w:rsidRDefault="00803FC3" w:rsidP="00803FC3">
      <w:pPr>
        <w:ind w:firstLine="709"/>
        <w:jc w:val="both"/>
        <w:rPr>
          <w:szCs w:val="24"/>
        </w:rPr>
      </w:pPr>
      <w:r>
        <w:rPr>
          <w:szCs w:val="24"/>
        </w:rPr>
        <w:t>2. Nepriklausomo auditoriaus UAB „Apskaitos ir mokesčių konsultacijos“ išvados kopija, 2 lapai;</w:t>
      </w:r>
    </w:p>
    <w:p w14:paraId="6364BAE8" w14:textId="6C74B118" w:rsidR="00803FC3" w:rsidRDefault="00151BEC" w:rsidP="00803FC3">
      <w:pPr>
        <w:ind w:firstLine="709"/>
        <w:jc w:val="both"/>
        <w:rPr>
          <w:szCs w:val="24"/>
        </w:rPr>
      </w:pPr>
      <w:r>
        <w:rPr>
          <w:szCs w:val="24"/>
        </w:rPr>
        <w:t>3. 2020 – 2023</w:t>
      </w:r>
      <w:r w:rsidR="00803FC3">
        <w:rPr>
          <w:szCs w:val="24"/>
        </w:rPr>
        <w:t xml:space="preserve"> m. strateginių tikslų vykdymo</w:t>
      </w:r>
      <w:r w:rsidR="006D35D5">
        <w:rPr>
          <w:szCs w:val="24"/>
        </w:rPr>
        <w:t xml:space="preserve"> rezultatai</w:t>
      </w:r>
      <w:r w:rsidR="00D9196F">
        <w:rPr>
          <w:szCs w:val="24"/>
        </w:rPr>
        <w:t xml:space="preserve"> ir 2021 – 2024</w:t>
      </w:r>
      <w:r w:rsidR="00803FC3">
        <w:rPr>
          <w:szCs w:val="24"/>
        </w:rPr>
        <w:t xml:space="preserve"> m. veiklos strategijos </w:t>
      </w:r>
      <w:r w:rsidR="0093462E">
        <w:rPr>
          <w:szCs w:val="24"/>
        </w:rPr>
        <w:t>vertinimas</w:t>
      </w:r>
      <w:r w:rsidR="0093462E" w:rsidRPr="0099510B">
        <w:rPr>
          <w:szCs w:val="24"/>
        </w:rPr>
        <w:t>, 5</w:t>
      </w:r>
      <w:r w:rsidR="0012764A" w:rsidRPr="0099510B">
        <w:rPr>
          <w:szCs w:val="24"/>
        </w:rPr>
        <w:t xml:space="preserve"> lapai.</w:t>
      </w:r>
    </w:p>
    <w:p w14:paraId="1A75E8D2" w14:textId="77777777" w:rsidR="000F7B66" w:rsidRPr="007B6DC7" w:rsidRDefault="000F7B66">
      <w:pPr>
        <w:tabs>
          <w:tab w:val="left" w:pos="851"/>
        </w:tabs>
        <w:spacing w:line="360" w:lineRule="auto"/>
        <w:jc w:val="both"/>
        <w:rPr>
          <w:szCs w:val="24"/>
          <w:lang w:eastAsia="lt-LT"/>
        </w:rPr>
      </w:pPr>
      <w:bookmarkStart w:id="3" w:name="_Hlk57671632"/>
    </w:p>
    <w:p w14:paraId="38718A52" w14:textId="77777777" w:rsidR="00234381" w:rsidRDefault="00234381" w:rsidP="0012764A">
      <w:pPr>
        <w:tabs>
          <w:tab w:val="left" w:pos="851"/>
        </w:tabs>
        <w:jc w:val="both"/>
        <w:rPr>
          <w:szCs w:val="24"/>
          <w:lang w:eastAsia="lt-LT"/>
        </w:rPr>
      </w:pPr>
      <w:r>
        <w:rPr>
          <w:szCs w:val="24"/>
          <w:lang w:eastAsia="lt-LT"/>
        </w:rPr>
        <w:t>Jonavos rajono savivaldybės administracijos</w:t>
      </w:r>
    </w:p>
    <w:p w14:paraId="76D430F2" w14:textId="77777777" w:rsidR="000F7B66" w:rsidRPr="007B6DC7" w:rsidRDefault="00234381" w:rsidP="0012764A">
      <w:pPr>
        <w:tabs>
          <w:tab w:val="left" w:pos="851"/>
        </w:tabs>
        <w:jc w:val="both"/>
        <w:rPr>
          <w:szCs w:val="24"/>
          <w:lang w:eastAsia="lt-LT"/>
        </w:rPr>
      </w:pPr>
      <w:r>
        <w:rPr>
          <w:szCs w:val="24"/>
          <w:lang w:eastAsia="lt-LT"/>
        </w:rPr>
        <w:t>patarėja (įmonių valdymo klausimais)                                                          Vitalija Bublytė</w:t>
      </w:r>
      <w:r w:rsidR="008B6F43" w:rsidRPr="007B6DC7">
        <w:rPr>
          <w:szCs w:val="24"/>
          <w:lang w:eastAsia="lt-LT"/>
        </w:rPr>
        <w:t xml:space="preserve">                             </w:t>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8B6F43" w:rsidRPr="007B6DC7">
        <w:rPr>
          <w:szCs w:val="24"/>
          <w:lang w:eastAsia="lt-LT"/>
        </w:rPr>
        <w:t xml:space="preserve"> </w:t>
      </w:r>
      <w:bookmarkEnd w:id="3"/>
    </w:p>
    <w:sectPr w:rsidR="000F7B66" w:rsidRPr="007B6DC7" w:rsidSect="0028033E">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09" w:footer="709" w:gutter="0"/>
      <w:pgNumType w:start="2"/>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F7626" w14:textId="77777777" w:rsidR="0036706B" w:rsidRDefault="0036706B">
      <w:pPr>
        <w:rPr>
          <w:rFonts w:ascii="TimesLT" w:hAnsi="TimesLT"/>
          <w:sz w:val="26"/>
          <w:lang w:eastAsia="lt-LT"/>
        </w:rPr>
      </w:pPr>
      <w:r>
        <w:rPr>
          <w:rFonts w:ascii="TimesLT" w:hAnsi="TimesLT"/>
          <w:sz w:val="26"/>
          <w:lang w:eastAsia="lt-LT"/>
        </w:rPr>
        <w:separator/>
      </w:r>
    </w:p>
  </w:endnote>
  <w:endnote w:type="continuationSeparator" w:id="0">
    <w:p w14:paraId="1F2B29E4" w14:textId="77777777" w:rsidR="0036706B" w:rsidRDefault="0036706B">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F81D" w14:textId="77777777" w:rsidR="00F6574E" w:rsidRDefault="00F6574E">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2603" w14:textId="77777777" w:rsidR="00F6574E" w:rsidRDefault="00F6574E">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FACF" w14:textId="77777777" w:rsidR="0028033E" w:rsidRDefault="002803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EF919" w14:textId="77777777" w:rsidR="0036706B" w:rsidRDefault="0036706B">
      <w:pPr>
        <w:rPr>
          <w:rFonts w:ascii="TimesLT" w:hAnsi="TimesLT"/>
          <w:sz w:val="26"/>
          <w:lang w:eastAsia="lt-LT"/>
        </w:rPr>
      </w:pPr>
      <w:r>
        <w:rPr>
          <w:rFonts w:ascii="TimesLT" w:hAnsi="TimesLT"/>
          <w:sz w:val="26"/>
          <w:lang w:eastAsia="lt-LT"/>
        </w:rPr>
        <w:separator/>
      </w:r>
    </w:p>
  </w:footnote>
  <w:footnote w:type="continuationSeparator" w:id="0">
    <w:p w14:paraId="3C502CB1" w14:textId="77777777" w:rsidR="0036706B" w:rsidRDefault="0036706B">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3EBE" w14:textId="77777777" w:rsidR="00F6574E" w:rsidRDefault="00F6574E">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63B4C96D" w14:textId="77777777" w:rsidR="00F6574E" w:rsidRDefault="00F6574E">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C5EC" w14:textId="5FC3617D" w:rsidR="00F6574E" w:rsidRDefault="00F6574E">
    <w:pPr>
      <w:tabs>
        <w:tab w:val="center" w:pos="4153"/>
        <w:tab w:val="right" w:pos="8306"/>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B50F" w14:textId="77777777" w:rsidR="00F6574E" w:rsidRDefault="00F6574E">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5240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1415EE"/>
    <w:multiLevelType w:val="multilevel"/>
    <w:tmpl w:val="94D8C586"/>
    <w:lvl w:ilvl="0">
      <w:start w:val="1"/>
      <w:numFmt w:val="decimal"/>
      <w:lvlText w:val="%1."/>
      <w:lvlJc w:val="left"/>
      <w:pPr>
        <w:ind w:left="1665"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3" w15:restartNumberingAfterBreak="0">
    <w:nsid w:val="356D6225"/>
    <w:multiLevelType w:val="multilevel"/>
    <w:tmpl w:val="94D8C586"/>
    <w:lvl w:ilvl="0">
      <w:start w:val="1"/>
      <w:numFmt w:val="decimal"/>
      <w:lvlText w:val="%1."/>
      <w:lvlJc w:val="left"/>
      <w:pPr>
        <w:ind w:left="360"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4"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E57376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6" w15:restartNumberingAfterBreak="0">
    <w:nsid w:val="5CBB3B89"/>
    <w:multiLevelType w:val="hybridMultilevel"/>
    <w:tmpl w:val="836C2D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559"/>
    <w:rsid w:val="000071E9"/>
    <w:rsid w:val="00020A4F"/>
    <w:rsid w:val="000238A2"/>
    <w:rsid w:val="00033DA2"/>
    <w:rsid w:val="000470ED"/>
    <w:rsid w:val="00054112"/>
    <w:rsid w:val="00062AF0"/>
    <w:rsid w:val="000701AF"/>
    <w:rsid w:val="00086A73"/>
    <w:rsid w:val="0009724E"/>
    <w:rsid w:val="000A7866"/>
    <w:rsid w:val="000A7A69"/>
    <w:rsid w:val="000B26BB"/>
    <w:rsid w:val="000C7F9B"/>
    <w:rsid w:val="000D20EF"/>
    <w:rsid w:val="000D2EA8"/>
    <w:rsid w:val="000E11EB"/>
    <w:rsid w:val="000E34CD"/>
    <w:rsid w:val="000F4EDC"/>
    <w:rsid w:val="000F4FCF"/>
    <w:rsid w:val="000F7B66"/>
    <w:rsid w:val="000F7E67"/>
    <w:rsid w:val="00105C28"/>
    <w:rsid w:val="00114E84"/>
    <w:rsid w:val="00120E47"/>
    <w:rsid w:val="001260B8"/>
    <w:rsid w:val="00126753"/>
    <w:rsid w:val="0012764A"/>
    <w:rsid w:val="0013440F"/>
    <w:rsid w:val="00142209"/>
    <w:rsid w:val="001505F4"/>
    <w:rsid w:val="00151BEC"/>
    <w:rsid w:val="00166056"/>
    <w:rsid w:val="00170EF2"/>
    <w:rsid w:val="001803F3"/>
    <w:rsid w:val="001A7344"/>
    <w:rsid w:val="001B6893"/>
    <w:rsid w:val="001C6201"/>
    <w:rsid w:val="001D4CEC"/>
    <w:rsid w:val="001F2B3E"/>
    <w:rsid w:val="00200674"/>
    <w:rsid w:val="0020419D"/>
    <w:rsid w:val="00204C68"/>
    <w:rsid w:val="00214824"/>
    <w:rsid w:val="00214C26"/>
    <w:rsid w:val="00217B6C"/>
    <w:rsid w:val="00233626"/>
    <w:rsid w:val="00234381"/>
    <w:rsid w:val="00243FAA"/>
    <w:rsid w:val="00256FF2"/>
    <w:rsid w:val="002641D5"/>
    <w:rsid w:val="00273418"/>
    <w:rsid w:val="0028033E"/>
    <w:rsid w:val="002914A6"/>
    <w:rsid w:val="0029179D"/>
    <w:rsid w:val="002A5766"/>
    <w:rsid w:val="002B3162"/>
    <w:rsid w:val="002C57C8"/>
    <w:rsid w:val="002E15ED"/>
    <w:rsid w:val="002E22F9"/>
    <w:rsid w:val="002E58A5"/>
    <w:rsid w:val="00301BD3"/>
    <w:rsid w:val="0030738C"/>
    <w:rsid w:val="00310E9D"/>
    <w:rsid w:val="003237B8"/>
    <w:rsid w:val="00333BBD"/>
    <w:rsid w:val="00336F4D"/>
    <w:rsid w:val="00350ED8"/>
    <w:rsid w:val="003615FF"/>
    <w:rsid w:val="003656D3"/>
    <w:rsid w:val="0036706B"/>
    <w:rsid w:val="0039618D"/>
    <w:rsid w:val="003C2892"/>
    <w:rsid w:val="003C4F71"/>
    <w:rsid w:val="003E6577"/>
    <w:rsid w:val="003F0234"/>
    <w:rsid w:val="003F4C39"/>
    <w:rsid w:val="004175EB"/>
    <w:rsid w:val="00430EB4"/>
    <w:rsid w:val="00446DF1"/>
    <w:rsid w:val="00467690"/>
    <w:rsid w:val="004767D1"/>
    <w:rsid w:val="004772E6"/>
    <w:rsid w:val="00481237"/>
    <w:rsid w:val="004B3DE2"/>
    <w:rsid w:val="004D00A8"/>
    <w:rsid w:val="004D4AC7"/>
    <w:rsid w:val="004D4AC9"/>
    <w:rsid w:val="004E4468"/>
    <w:rsid w:val="004E70D5"/>
    <w:rsid w:val="004F4ADB"/>
    <w:rsid w:val="004F4EA9"/>
    <w:rsid w:val="00502C19"/>
    <w:rsid w:val="00514136"/>
    <w:rsid w:val="00531E52"/>
    <w:rsid w:val="00532F54"/>
    <w:rsid w:val="00564120"/>
    <w:rsid w:val="00575865"/>
    <w:rsid w:val="00576AF5"/>
    <w:rsid w:val="00585EC6"/>
    <w:rsid w:val="00590407"/>
    <w:rsid w:val="00591EB9"/>
    <w:rsid w:val="00595B24"/>
    <w:rsid w:val="005B0467"/>
    <w:rsid w:val="005B0857"/>
    <w:rsid w:val="005C44C7"/>
    <w:rsid w:val="005D04A0"/>
    <w:rsid w:val="005D2210"/>
    <w:rsid w:val="005D3653"/>
    <w:rsid w:val="005E64CB"/>
    <w:rsid w:val="005F340D"/>
    <w:rsid w:val="005F34C3"/>
    <w:rsid w:val="00610A8C"/>
    <w:rsid w:val="00613079"/>
    <w:rsid w:val="00615A34"/>
    <w:rsid w:val="00616C09"/>
    <w:rsid w:val="0062008D"/>
    <w:rsid w:val="00620FB1"/>
    <w:rsid w:val="00632D96"/>
    <w:rsid w:val="006338FF"/>
    <w:rsid w:val="00637D77"/>
    <w:rsid w:val="00642D67"/>
    <w:rsid w:val="00644CE6"/>
    <w:rsid w:val="00645723"/>
    <w:rsid w:val="006461DC"/>
    <w:rsid w:val="00653905"/>
    <w:rsid w:val="00675DA0"/>
    <w:rsid w:val="00680725"/>
    <w:rsid w:val="00687209"/>
    <w:rsid w:val="00694283"/>
    <w:rsid w:val="006A1893"/>
    <w:rsid w:val="006B3DFE"/>
    <w:rsid w:val="006C7428"/>
    <w:rsid w:val="006C7E7E"/>
    <w:rsid w:val="006D010C"/>
    <w:rsid w:val="006D27E1"/>
    <w:rsid w:val="006D35D5"/>
    <w:rsid w:val="006D7FD5"/>
    <w:rsid w:val="006E1193"/>
    <w:rsid w:val="006E3919"/>
    <w:rsid w:val="006E522B"/>
    <w:rsid w:val="006E5559"/>
    <w:rsid w:val="006E5F9F"/>
    <w:rsid w:val="006F4027"/>
    <w:rsid w:val="00700A52"/>
    <w:rsid w:val="00700F01"/>
    <w:rsid w:val="00704A7E"/>
    <w:rsid w:val="007063A1"/>
    <w:rsid w:val="00707F31"/>
    <w:rsid w:val="007125FC"/>
    <w:rsid w:val="0074191C"/>
    <w:rsid w:val="0076283F"/>
    <w:rsid w:val="00770212"/>
    <w:rsid w:val="00776B98"/>
    <w:rsid w:val="00786E23"/>
    <w:rsid w:val="007A2A6C"/>
    <w:rsid w:val="007B6DC7"/>
    <w:rsid w:val="007D548A"/>
    <w:rsid w:val="007D57B5"/>
    <w:rsid w:val="007D5BAC"/>
    <w:rsid w:val="007E488A"/>
    <w:rsid w:val="00803FC3"/>
    <w:rsid w:val="008110D3"/>
    <w:rsid w:val="008111FA"/>
    <w:rsid w:val="00813FBD"/>
    <w:rsid w:val="008142B8"/>
    <w:rsid w:val="008147DE"/>
    <w:rsid w:val="0081548C"/>
    <w:rsid w:val="008221FD"/>
    <w:rsid w:val="00832712"/>
    <w:rsid w:val="0085044E"/>
    <w:rsid w:val="00852AFC"/>
    <w:rsid w:val="008549C8"/>
    <w:rsid w:val="0085684E"/>
    <w:rsid w:val="00864B46"/>
    <w:rsid w:val="008678BE"/>
    <w:rsid w:val="008721BD"/>
    <w:rsid w:val="008958A3"/>
    <w:rsid w:val="008A3FE6"/>
    <w:rsid w:val="008A41F3"/>
    <w:rsid w:val="008B6F43"/>
    <w:rsid w:val="008C45D8"/>
    <w:rsid w:val="008C4F5F"/>
    <w:rsid w:val="008C6800"/>
    <w:rsid w:val="008D13E7"/>
    <w:rsid w:val="008D4D7C"/>
    <w:rsid w:val="008F436A"/>
    <w:rsid w:val="009041E4"/>
    <w:rsid w:val="009209B6"/>
    <w:rsid w:val="00921350"/>
    <w:rsid w:val="009330E7"/>
    <w:rsid w:val="0093462E"/>
    <w:rsid w:val="009360A1"/>
    <w:rsid w:val="00945789"/>
    <w:rsid w:val="00962B0D"/>
    <w:rsid w:val="009654CB"/>
    <w:rsid w:val="009713B3"/>
    <w:rsid w:val="0097552A"/>
    <w:rsid w:val="0099510B"/>
    <w:rsid w:val="009C5CFA"/>
    <w:rsid w:val="009C6B3F"/>
    <w:rsid w:val="009D08EE"/>
    <w:rsid w:val="009E6DC5"/>
    <w:rsid w:val="009F483B"/>
    <w:rsid w:val="009F5344"/>
    <w:rsid w:val="00A05D14"/>
    <w:rsid w:val="00A1452F"/>
    <w:rsid w:val="00A17813"/>
    <w:rsid w:val="00A23068"/>
    <w:rsid w:val="00A243A0"/>
    <w:rsid w:val="00A30C29"/>
    <w:rsid w:val="00A37C7C"/>
    <w:rsid w:val="00A550F1"/>
    <w:rsid w:val="00A641CF"/>
    <w:rsid w:val="00A75825"/>
    <w:rsid w:val="00A85B71"/>
    <w:rsid w:val="00A93555"/>
    <w:rsid w:val="00A941D8"/>
    <w:rsid w:val="00A945EB"/>
    <w:rsid w:val="00AA2EB8"/>
    <w:rsid w:val="00AA7231"/>
    <w:rsid w:val="00AB4506"/>
    <w:rsid w:val="00AB552F"/>
    <w:rsid w:val="00AC2EBF"/>
    <w:rsid w:val="00AC40C3"/>
    <w:rsid w:val="00AD0CD6"/>
    <w:rsid w:val="00AD7463"/>
    <w:rsid w:val="00AE5081"/>
    <w:rsid w:val="00AE5484"/>
    <w:rsid w:val="00B057FD"/>
    <w:rsid w:val="00B06650"/>
    <w:rsid w:val="00B2181B"/>
    <w:rsid w:val="00B33448"/>
    <w:rsid w:val="00B754BD"/>
    <w:rsid w:val="00B9009E"/>
    <w:rsid w:val="00B96E1B"/>
    <w:rsid w:val="00BA7455"/>
    <w:rsid w:val="00BC7EDA"/>
    <w:rsid w:val="00BD41CB"/>
    <w:rsid w:val="00BD7815"/>
    <w:rsid w:val="00BE28F7"/>
    <w:rsid w:val="00BE2FCA"/>
    <w:rsid w:val="00BF7EFE"/>
    <w:rsid w:val="00C00C90"/>
    <w:rsid w:val="00C03EAC"/>
    <w:rsid w:val="00C215A3"/>
    <w:rsid w:val="00C222F5"/>
    <w:rsid w:val="00C22C6B"/>
    <w:rsid w:val="00C30C5B"/>
    <w:rsid w:val="00C5052C"/>
    <w:rsid w:val="00C554BB"/>
    <w:rsid w:val="00C563BB"/>
    <w:rsid w:val="00C634AF"/>
    <w:rsid w:val="00C660B8"/>
    <w:rsid w:val="00C674BD"/>
    <w:rsid w:val="00C7200C"/>
    <w:rsid w:val="00C9004A"/>
    <w:rsid w:val="00C93CEC"/>
    <w:rsid w:val="00CA65EA"/>
    <w:rsid w:val="00CD4FB6"/>
    <w:rsid w:val="00CE4D9F"/>
    <w:rsid w:val="00CE5303"/>
    <w:rsid w:val="00D00D18"/>
    <w:rsid w:val="00D033DA"/>
    <w:rsid w:val="00D07F15"/>
    <w:rsid w:val="00D14999"/>
    <w:rsid w:val="00D26A20"/>
    <w:rsid w:val="00D26FDC"/>
    <w:rsid w:val="00D4521D"/>
    <w:rsid w:val="00D47C5E"/>
    <w:rsid w:val="00D60963"/>
    <w:rsid w:val="00D635A0"/>
    <w:rsid w:val="00D77197"/>
    <w:rsid w:val="00D858F7"/>
    <w:rsid w:val="00D9196F"/>
    <w:rsid w:val="00D9572D"/>
    <w:rsid w:val="00DA64E4"/>
    <w:rsid w:val="00DC2474"/>
    <w:rsid w:val="00DC6E6A"/>
    <w:rsid w:val="00DE5AC8"/>
    <w:rsid w:val="00E00415"/>
    <w:rsid w:val="00E05E87"/>
    <w:rsid w:val="00E16B77"/>
    <w:rsid w:val="00E17908"/>
    <w:rsid w:val="00E17E50"/>
    <w:rsid w:val="00E26609"/>
    <w:rsid w:val="00E32AF7"/>
    <w:rsid w:val="00E46353"/>
    <w:rsid w:val="00E545B6"/>
    <w:rsid w:val="00E54C59"/>
    <w:rsid w:val="00E632C2"/>
    <w:rsid w:val="00E705DF"/>
    <w:rsid w:val="00E822FB"/>
    <w:rsid w:val="00E84283"/>
    <w:rsid w:val="00E85B99"/>
    <w:rsid w:val="00E877B4"/>
    <w:rsid w:val="00EA1834"/>
    <w:rsid w:val="00EB2025"/>
    <w:rsid w:val="00EC18EB"/>
    <w:rsid w:val="00ED1C7B"/>
    <w:rsid w:val="00EE2D39"/>
    <w:rsid w:val="00F00FB3"/>
    <w:rsid w:val="00F04079"/>
    <w:rsid w:val="00F049B6"/>
    <w:rsid w:val="00F06F23"/>
    <w:rsid w:val="00F13501"/>
    <w:rsid w:val="00F17DCF"/>
    <w:rsid w:val="00F21447"/>
    <w:rsid w:val="00F269E4"/>
    <w:rsid w:val="00F4447C"/>
    <w:rsid w:val="00F53362"/>
    <w:rsid w:val="00F6574E"/>
    <w:rsid w:val="00F6759A"/>
    <w:rsid w:val="00F731CC"/>
    <w:rsid w:val="00FB633B"/>
    <w:rsid w:val="00FB6E44"/>
    <w:rsid w:val="00FD6557"/>
    <w:rsid w:val="00FF1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0D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2B3E"/>
    <w:pPr>
      <w:ind w:left="720"/>
      <w:contextualSpacing/>
    </w:pPr>
  </w:style>
  <w:style w:type="character" w:styleId="Komentaronuoroda">
    <w:name w:val="annotation reference"/>
    <w:basedOn w:val="Numatytasispastraiposriftas"/>
    <w:semiHidden/>
    <w:unhideWhenUsed/>
    <w:rsid w:val="00531E52"/>
    <w:rPr>
      <w:sz w:val="16"/>
      <w:szCs w:val="16"/>
    </w:rPr>
  </w:style>
  <w:style w:type="paragraph" w:styleId="Komentarotekstas">
    <w:name w:val="annotation text"/>
    <w:basedOn w:val="prastasis"/>
    <w:link w:val="KomentarotekstasDiagrama"/>
    <w:semiHidden/>
    <w:unhideWhenUsed/>
    <w:rsid w:val="00531E52"/>
    <w:rPr>
      <w:sz w:val="20"/>
    </w:rPr>
  </w:style>
  <w:style w:type="character" w:customStyle="1" w:styleId="KomentarotekstasDiagrama">
    <w:name w:val="Komentaro tekstas Diagrama"/>
    <w:basedOn w:val="Numatytasispastraiposriftas"/>
    <w:link w:val="Komentarotekstas"/>
    <w:semiHidden/>
    <w:rsid w:val="00531E52"/>
    <w:rPr>
      <w:sz w:val="20"/>
    </w:rPr>
  </w:style>
  <w:style w:type="paragraph" w:styleId="Komentarotema">
    <w:name w:val="annotation subject"/>
    <w:basedOn w:val="Komentarotekstas"/>
    <w:next w:val="Komentarotekstas"/>
    <w:link w:val="KomentarotemaDiagrama"/>
    <w:semiHidden/>
    <w:unhideWhenUsed/>
    <w:rsid w:val="00531E52"/>
    <w:rPr>
      <w:b/>
      <w:bCs/>
    </w:rPr>
  </w:style>
  <w:style w:type="character" w:customStyle="1" w:styleId="KomentarotemaDiagrama">
    <w:name w:val="Komentaro tema Diagrama"/>
    <w:basedOn w:val="KomentarotekstasDiagrama"/>
    <w:link w:val="Komentarotema"/>
    <w:semiHidden/>
    <w:rsid w:val="00531E52"/>
    <w:rPr>
      <w:b/>
      <w:bCs/>
      <w:sz w:val="20"/>
    </w:rPr>
  </w:style>
  <w:style w:type="paragraph" w:styleId="Debesliotekstas">
    <w:name w:val="Balloon Text"/>
    <w:basedOn w:val="prastasis"/>
    <w:link w:val="DebesliotekstasDiagrama"/>
    <w:rsid w:val="00531E52"/>
    <w:rPr>
      <w:rFonts w:ascii="Segoe UI" w:hAnsi="Segoe UI" w:cs="Segoe UI"/>
      <w:sz w:val="18"/>
      <w:szCs w:val="18"/>
    </w:rPr>
  </w:style>
  <w:style w:type="character" w:customStyle="1" w:styleId="DebesliotekstasDiagrama">
    <w:name w:val="Debesėlio tekstas Diagrama"/>
    <w:basedOn w:val="Numatytasispastraiposriftas"/>
    <w:link w:val="Debesliotekstas"/>
    <w:rsid w:val="00531E52"/>
    <w:rPr>
      <w:rFonts w:ascii="Segoe UI" w:hAnsi="Segoe UI" w:cs="Segoe UI"/>
      <w:sz w:val="18"/>
      <w:szCs w:val="18"/>
    </w:rPr>
  </w:style>
  <w:style w:type="character" w:styleId="Hipersaitas">
    <w:name w:val="Hyperlink"/>
    <w:basedOn w:val="Numatytasispastraiposriftas"/>
    <w:uiPriority w:val="99"/>
    <w:unhideWhenUsed/>
    <w:rsid w:val="00A1452F"/>
    <w:rPr>
      <w:color w:val="0000FF" w:themeColor="hyperlink"/>
      <w:u w:val="single"/>
    </w:rPr>
  </w:style>
  <w:style w:type="paragraph" w:styleId="Pagrindinistekstas">
    <w:name w:val="Body Text"/>
    <w:basedOn w:val="prastasis"/>
    <w:link w:val="PagrindinistekstasDiagrama"/>
    <w:semiHidden/>
    <w:unhideWhenUsed/>
    <w:rsid w:val="00E54C59"/>
    <w:pPr>
      <w:jc w:val="both"/>
    </w:pPr>
    <w:rPr>
      <w:szCs w:val="24"/>
      <w:lang w:val="x-none"/>
    </w:rPr>
  </w:style>
  <w:style w:type="character" w:customStyle="1" w:styleId="PagrindinistekstasDiagrama">
    <w:name w:val="Pagrindinis tekstas Diagrama"/>
    <w:basedOn w:val="Numatytasispastraiposriftas"/>
    <w:link w:val="Pagrindinistekstas"/>
    <w:semiHidden/>
    <w:rsid w:val="00E54C59"/>
    <w:rPr>
      <w:szCs w:val="24"/>
      <w:lang w:val="x-none"/>
    </w:rPr>
  </w:style>
  <w:style w:type="paragraph" w:styleId="Porat">
    <w:name w:val="footer"/>
    <w:basedOn w:val="prastasis"/>
    <w:link w:val="PoratDiagrama"/>
    <w:unhideWhenUsed/>
    <w:rsid w:val="00D60963"/>
    <w:pPr>
      <w:tabs>
        <w:tab w:val="center" w:pos="4819"/>
        <w:tab w:val="right" w:pos="9638"/>
      </w:tabs>
    </w:pPr>
  </w:style>
  <w:style w:type="character" w:customStyle="1" w:styleId="PoratDiagrama">
    <w:name w:val="Poraštė Diagrama"/>
    <w:basedOn w:val="Numatytasispastraiposriftas"/>
    <w:link w:val="Porat"/>
    <w:rsid w:val="00D60963"/>
  </w:style>
  <w:style w:type="table" w:styleId="Lentelstinklelis">
    <w:name w:val="Table Grid"/>
    <w:basedOn w:val="prastojilentel"/>
    <w:uiPriority w:val="39"/>
    <w:rsid w:val="009E6DC5"/>
    <w:rPr>
      <w:rFonts w:eastAsia="SimSun" w:cs="Mangal"/>
      <w:sz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F21447"/>
    <w:rPr>
      <w:rFonts w:eastAsia="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803FC3"/>
    <w:pPr>
      <w:suppressAutoHyphens/>
      <w:autoSpaceDN w:val="0"/>
      <w:textAlignment w:val="baseline"/>
    </w:pPr>
    <w:rPr>
      <w:rFonts w:eastAsia="SimSun" w:cs="Mangal"/>
      <w:kern w:val="3"/>
      <w:szCs w:val="2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2917">
      <w:bodyDiv w:val="1"/>
      <w:marLeft w:val="0"/>
      <w:marRight w:val="0"/>
      <w:marTop w:val="0"/>
      <w:marBottom w:val="0"/>
      <w:divBdr>
        <w:top w:val="none" w:sz="0" w:space="0" w:color="auto"/>
        <w:left w:val="none" w:sz="0" w:space="0" w:color="auto"/>
        <w:bottom w:val="none" w:sz="0" w:space="0" w:color="auto"/>
        <w:right w:val="none" w:sz="0" w:space="0" w:color="auto"/>
      </w:divBdr>
      <w:divsChild>
        <w:div w:id="1717002417">
          <w:marLeft w:val="0"/>
          <w:marRight w:val="0"/>
          <w:marTop w:val="0"/>
          <w:marBottom w:val="0"/>
          <w:divBdr>
            <w:top w:val="none" w:sz="0" w:space="0" w:color="auto"/>
            <w:left w:val="none" w:sz="0" w:space="0" w:color="auto"/>
            <w:bottom w:val="none" w:sz="0" w:space="0" w:color="auto"/>
            <w:right w:val="none" w:sz="0" w:space="0" w:color="auto"/>
          </w:divBdr>
          <w:divsChild>
            <w:div w:id="18665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5053">
      <w:bodyDiv w:val="1"/>
      <w:marLeft w:val="0"/>
      <w:marRight w:val="0"/>
      <w:marTop w:val="0"/>
      <w:marBottom w:val="0"/>
      <w:divBdr>
        <w:top w:val="none" w:sz="0" w:space="0" w:color="auto"/>
        <w:left w:val="none" w:sz="0" w:space="0" w:color="auto"/>
        <w:bottom w:val="none" w:sz="0" w:space="0" w:color="auto"/>
        <w:right w:val="none" w:sz="0" w:space="0" w:color="auto"/>
      </w:divBdr>
    </w:div>
    <w:div w:id="263077378">
      <w:bodyDiv w:val="1"/>
      <w:marLeft w:val="0"/>
      <w:marRight w:val="0"/>
      <w:marTop w:val="0"/>
      <w:marBottom w:val="0"/>
      <w:divBdr>
        <w:top w:val="none" w:sz="0" w:space="0" w:color="auto"/>
        <w:left w:val="none" w:sz="0" w:space="0" w:color="auto"/>
        <w:bottom w:val="none" w:sz="0" w:space="0" w:color="auto"/>
        <w:right w:val="none" w:sz="0" w:space="0" w:color="auto"/>
      </w:divBdr>
    </w:div>
    <w:div w:id="521553602">
      <w:bodyDiv w:val="1"/>
      <w:marLeft w:val="0"/>
      <w:marRight w:val="0"/>
      <w:marTop w:val="0"/>
      <w:marBottom w:val="0"/>
      <w:divBdr>
        <w:top w:val="none" w:sz="0" w:space="0" w:color="auto"/>
        <w:left w:val="none" w:sz="0" w:space="0" w:color="auto"/>
        <w:bottom w:val="none" w:sz="0" w:space="0" w:color="auto"/>
        <w:right w:val="none" w:sz="0" w:space="0" w:color="auto"/>
      </w:divBdr>
    </w:div>
    <w:div w:id="1081676582">
      <w:bodyDiv w:val="1"/>
      <w:marLeft w:val="0"/>
      <w:marRight w:val="0"/>
      <w:marTop w:val="0"/>
      <w:marBottom w:val="0"/>
      <w:divBdr>
        <w:top w:val="none" w:sz="0" w:space="0" w:color="auto"/>
        <w:left w:val="none" w:sz="0" w:space="0" w:color="auto"/>
        <w:bottom w:val="none" w:sz="0" w:space="0" w:color="auto"/>
        <w:right w:val="none" w:sz="0" w:space="0" w:color="auto"/>
      </w:divBdr>
    </w:div>
    <w:div w:id="1111897044">
      <w:bodyDiv w:val="1"/>
      <w:marLeft w:val="0"/>
      <w:marRight w:val="0"/>
      <w:marTop w:val="0"/>
      <w:marBottom w:val="0"/>
      <w:divBdr>
        <w:top w:val="none" w:sz="0" w:space="0" w:color="auto"/>
        <w:left w:val="none" w:sz="0" w:space="0" w:color="auto"/>
        <w:bottom w:val="none" w:sz="0" w:space="0" w:color="auto"/>
        <w:right w:val="none" w:sz="0" w:space="0" w:color="auto"/>
      </w:divBdr>
      <w:divsChild>
        <w:div w:id="68502514">
          <w:marLeft w:val="0"/>
          <w:marRight w:val="0"/>
          <w:marTop w:val="0"/>
          <w:marBottom w:val="0"/>
          <w:divBdr>
            <w:top w:val="none" w:sz="0" w:space="0" w:color="auto"/>
            <w:left w:val="none" w:sz="0" w:space="0" w:color="auto"/>
            <w:bottom w:val="none" w:sz="0" w:space="0" w:color="auto"/>
            <w:right w:val="none" w:sz="0" w:space="0" w:color="auto"/>
          </w:divBdr>
        </w:div>
      </w:divsChild>
    </w:div>
    <w:div w:id="1180583870">
      <w:bodyDiv w:val="1"/>
      <w:marLeft w:val="0"/>
      <w:marRight w:val="0"/>
      <w:marTop w:val="0"/>
      <w:marBottom w:val="0"/>
      <w:divBdr>
        <w:top w:val="none" w:sz="0" w:space="0" w:color="auto"/>
        <w:left w:val="none" w:sz="0" w:space="0" w:color="auto"/>
        <w:bottom w:val="none" w:sz="0" w:space="0" w:color="auto"/>
        <w:right w:val="none" w:sz="0" w:space="0" w:color="auto"/>
      </w:divBdr>
    </w:div>
    <w:div w:id="1400053223">
      <w:bodyDiv w:val="1"/>
      <w:marLeft w:val="0"/>
      <w:marRight w:val="0"/>
      <w:marTop w:val="0"/>
      <w:marBottom w:val="0"/>
      <w:divBdr>
        <w:top w:val="none" w:sz="0" w:space="0" w:color="auto"/>
        <w:left w:val="none" w:sz="0" w:space="0" w:color="auto"/>
        <w:bottom w:val="none" w:sz="0" w:space="0" w:color="auto"/>
        <w:right w:val="none" w:sz="0" w:space="0" w:color="auto"/>
      </w:divBdr>
      <w:divsChild>
        <w:div w:id="1532373407">
          <w:marLeft w:val="0"/>
          <w:marRight w:val="0"/>
          <w:marTop w:val="0"/>
          <w:marBottom w:val="0"/>
          <w:divBdr>
            <w:top w:val="none" w:sz="0" w:space="0" w:color="auto"/>
            <w:left w:val="none" w:sz="0" w:space="0" w:color="auto"/>
            <w:bottom w:val="none" w:sz="0" w:space="0" w:color="auto"/>
            <w:right w:val="none" w:sz="0" w:space="0" w:color="auto"/>
          </w:divBdr>
        </w:div>
      </w:divsChild>
    </w:div>
    <w:div w:id="1483235144">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746419511">
      <w:bodyDiv w:val="1"/>
      <w:marLeft w:val="0"/>
      <w:marRight w:val="0"/>
      <w:marTop w:val="0"/>
      <w:marBottom w:val="0"/>
      <w:divBdr>
        <w:top w:val="none" w:sz="0" w:space="0" w:color="auto"/>
        <w:left w:val="none" w:sz="0" w:space="0" w:color="auto"/>
        <w:bottom w:val="none" w:sz="0" w:space="0" w:color="auto"/>
        <w:right w:val="none" w:sz="0" w:space="0" w:color="auto"/>
      </w:divBdr>
    </w:div>
    <w:div w:id="1922830818">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85C41-42DF-4133-A69C-5716F1BD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7278</Words>
  <Characters>4150</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11406</CharactersWithSpaces>
  <SharedDoc>false</SharedDoc>
  <HyperlinkBase/>
  <HLinks>
    <vt:vector size="6" baseType="variant">
      <vt:variant>
        <vt:i4>1638514</vt:i4>
      </vt:variant>
      <vt:variant>
        <vt:i4>0</vt:i4>
      </vt:variant>
      <vt:variant>
        <vt:i4>0</vt:i4>
      </vt:variant>
      <vt:variant>
        <vt:i4>5</vt:i4>
      </vt:variant>
      <vt:variant>
        <vt:lpwstr>mailto:milda.labasauskaite@krs.lt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2021-04-12T05:56:00Z</dcterms:created>
  <dcterms:modified xsi:type="dcterms:W3CDTF">2021-04-16T10:38:00Z</dcterms:modified>
</cp:coreProperties>
</file>