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A48DE" w14:textId="77777777" w:rsidR="006E3B66" w:rsidRPr="00577FDA" w:rsidRDefault="006E3B66" w:rsidP="006E3B66">
      <w:pPr>
        <w:spacing w:line="276" w:lineRule="auto"/>
        <w:jc w:val="center"/>
        <w:outlineLvl w:val="0"/>
        <w:rPr>
          <w:sz w:val="24"/>
          <w:szCs w:val="24"/>
          <w:lang w:val="lt-LT" w:eastAsia="lt-LT"/>
        </w:rPr>
      </w:pPr>
      <w:r w:rsidRPr="00577FDA">
        <w:rPr>
          <w:b/>
          <w:sz w:val="24"/>
          <w:szCs w:val="24"/>
          <w:lang w:val="lt-LT" w:eastAsia="lt-LT"/>
        </w:rPr>
        <w:t>JONAVOS RAJONO SAVIVALDYBĖS TARYBAI</w:t>
      </w:r>
    </w:p>
    <w:p w14:paraId="77AA3F84" w14:textId="77777777" w:rsidR="006E3B66" w:rsidRPr="00577FDA" w:rsidRDefault="006E3B66" w:rsidP="006E3B66">
      <w:pPr>
        <w:spacing w:line="276" w:lineRule="auto"/>
        <w:jc w:val="center"/>
        <w:rPr>
          <w:b/>
          <w:sz w:val="24"/>
          <w:szCs w:val="24"/>
          <w:lang w:val="lt-LT" w:eastAsia="lt-LT"/>
        </w:rPr>
      </w:pPr>
      <w:r w:rsidRPr="00577FDA">
        <w:rPr>
          <w:b/>
          <w:sz w:val="24"/>
          <w:szCs w:val="24"/>
          <w:lang w:val="lt-LT" w:eastAsia="lt-LT"/>
        </w:rPr>
        <w:t>AIŠKINAMASIS RAŠTAS</w:t>
      </w:r>
    </w:p>
    <w:p w14:paraId="5953A71C" w14:textId="77777777" w:rsidR="006E3B66" w:rsidRPr="00577FDA" w:rsidRDefault="006E3B66" w:rsidP="006E3B66">
      <w:pPr>
        <w:spacing w:line="276" w:lineRule="auto"/>
        <w:jc w:val="center"/>
        <w:rPr>
          <w:sz w:val="24"/>
          <w:szCs w:val="24"/>
          <w:lang w:val="lt-LT" w:eastAsia="lt-LT"/>
        </w:rPr>
      </w:pPr>
      <w:r w:rsidRPr="00577FDA">
        <w:rPr>
          <w:b/>
          <w:sz w:val="24"/>
          <w:szCs w:val="24"/>
          <w:lang w:val="lt-LT" w:eastAsia="lt-LT"/>
        </w:rPr>
        <w:t>(</w:t>
      </w:r>
      <w:r w:rsidRPr="00577FDA">
        <w:rPr>
          <w:sz w:val="24"/>
          <w:szCs w:val="24"/>
          <w:lang w:val="lt-LT" w:eastAsia="lt-LT"/>
        </w:rPr>
        <w:t>prie sprendimo projekto)</w:t>
      </w:r>
    </w:p>
    <w:p w14:paraId="793EB642" w14:textId="77777777" w:rsidR="006E3B66" w:rsidRPr="00577FDA" w:rsidRDefault="006E3B66" w:rsidP="006E3B66">
      <w:pPr>
        <w:spacing w:line="276" w:lineRule="auto"/>
        <w:jc w:val="center"/>
        <w:rPr>
          <w:sz w:val="24"/>
          <w:szCs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9"/>
      </w:tblGrid>
      <w:tr w:rsidR="006E3B66" w:rsidRPr="00577FDA" w14:paraId="3FC46354" w14:textId="77777777" w:rsidTr="000B2EBA">
        <w:tc>
          <w:tcPr>
            <w:tcW w:w="9854" w:type="dxa"/>
            <w:tcBorders>
              <w:top w:val="nil"/>
              <w:left w:val="nil"/>
              <w:bottom w:val="nil"/>
              <w:right w:val="nil"/>
            </w:tcBorders>
            <w:hideMark/>
          </w:tcPr>
          <w:p w14:paraId="75E3010D" w14:textId="77777777" w:rsidR="006E3B66" w:rsidRPr="008C2DA7" w:rsidRDefault="006E3B66" w:rsidP="000B2EBA">
            <w:pPr>
              <w:jc w:val="center"/>
              <w:rPr>
                <w:b/>
                <w:bCs/>
                <w:caps/>
                <w:sz w:val="24"/>
                <w:lang w:val="lt-LT"/>
              </w:rPr>
            </w:pPr>
            <w:bookmarkStart w:id="0" w:name="_Hlk11337387"/>
            <w:r>
              <w:rPr>
                <w:b/>
                <w:bCs/>
                <w:caps/>
                <w:sz w:val="24"/>
                <w:lang w:val="lt-LT"/>
              </w:rPr>
              <w:t>DĖL JONAVOS RAJONO SAVIVALDYBĖS SODININKŲ BENDRIJŲ RĖMIMO TVARKOS APRAŠO PATVIRTINIMO</w:t>
            </w:r>
          </w:p>
          <w:p w14:paraId="20AC5253" w14:textId="77777777" w:rsidR="006E3B66" w:rsidRPr="00577FDA" w:rsidRDefault="006E3B66" w:rsidP="000B2EBA">
            <w:pPr>
              <w:spacing w:line="276" w:lineRule="auto"/>
              <w:jc w:val="center"/>
              <w:rPr>
                <w:b/>
                <w:bCs/>
                <w:caps/>
                <w:sz w:val="24"/>
                <w:szCs w:val="24"/>
                <w:lang w:val="lt-LT" w:eastAsia="lt-LT"/>
              </w:rPr>
            </w:pPr>
          </w:p>
          <w:p w14:paraId="0DDF04B6" w14:textId="77777777" w:rsidR="006E3B66" w:rsidRPr="00577FDA" w:rsidRDefault="006E3B66" w:rsidP="000B2EBA">
            <w:pPr>
              <w:spacing w:line="276" w:lineRule="auto"/>
              <w:jc w:val="center"/>
              <w:rPr>
                <w:b/>
                <w:bCs/>
                <w:caps/>
                <w:sz w:val="24"/>
                <w:szCs w:val="24"/>
                <w:lang w:val="lt-LT" w:eastAsia="lt-LT"/>
              </w:rPr>
            </w:pPr>
          </w:p>
        </w:tc>
      </w:tr>
    </w:tbl>
    <w:bookmarkEnd w:id="0"/>
    <w:p w14:paraId="6C23639B" w14:textId="77777777" w:rsidR="006E3B66" w:rsidRPr="00577FDA" w:rsidRDefault="006E3B66" w:rsidP="006E3B66">
      <w:pPr>
        <w:spacing w:line="276" w:lineRule="auto"/>
        <w:ind w:left="360"/>
        <w:jc w:val="center"/>
        <w:rPr>
          <w:sz w:val="24"/>
          <w:szCs w:val="24"/>
          <w:lang w:val="lt-LT" w:eastAsia="lt-LT"/>
        </w:rPr>
      </w:pPr>
      <w:r w:rsidRPr="00577FDA">
        <w:rPr>
          <w:sz w:val="24"/>
          <w:szCs w:val="24"/>
          <w:lang w:val="lt-LT" w:eastAsia="lt-LT"/>
        </w:rPr>
        <w:t xml:space="preserve">2021 m. </w:t>
      </w:r>
      <w:r>
        <w:rPr>
          <w:sz w:val="24"/>
          <w:szCs w:val="24"/>
          <w:lang w:val="lt-LT" w:eastAsia="lt-LT"/>
        </w:rPr>
        <w:t>rugsėjo 20</w:t>
      </w:r>
      <w:r w:rsidRPr="00577FDA">
        <w:rPr>
          <w:sz w:val="24"/>
          <w:szCs w:val="24"/>
          <w:lang w:val="lt-LT" w:eastAsia="lt-LT"/>
        </w:rPr>
        <w:t xml:space="preserve"> d.</w:t>
      </w:r>
    </w:p>
    <w:p w14:paraId="24B12633" w14:textId="77777777" w:rsidR="006E3B66" w:rsidRPr="00577FDA" w:rsidRDefault="006E3B66" w:rsidP="006E3B66">
      <w:pPr>
        <w:overflowPunct w:val="0"/>
        <w:autoSpaceDE w:val="0"/>
        <w:autoSpaceDN w:val="0"/>
        <w:adjustRightInd w:val="0"/>
        <w:spacing w:line="276" w:lineRule="auto"/>
        <w:ind w:firstLine="709"/>
        <w:jc w:val="both"/>
        <w:outlineLvl w:val="5"/>
        <w:rPr>
          <w:rFonts w:eastAsia="Calibri"/>
          <w:b/>
          <w:sz w:val="24"/>
          <w:szCs w:val="24"/>
          <w:lang w:val="lt-LT" w:eastAsia="lt-LT"/>
        </w:rPr>
      </w:pPr>
    </w:p>
    <w:p w14:paraId="3B1333CA" w14:textId="77777777" w:rsidR="006E3B66" w:rsidRPr="00577FDA" w:rsidRDefault="006E3B66" w:rsidP="00EB361C">
      <w:pPr>
        <w:numPr>
          <w:ilvl w:val="0"/>
          <w:numId w:val="1"/>
        </w:numPr>
        <w:tabs>
          <w:tab w:val="left" w:pos="709"/>
        </w:tabs>
        <w:overflowPunct w:val="0"/>
        <w:autoSpaceDE w:val="0"/>
        <w:autoSpaceDN w:val="0"/>
        <w:adjustRightInd w:val="0"/>
        <w:spacing w:line="276" w:lineRule="auto"/>
        <w:ind w:left="0" w:firstLine="851"/>
        <w:contextualSpacing/>
        <w:jc w:val="both"/>
        <w:outlineLvl w:val="5"/>
        <w:rPr>
          <w:rFonts w:eastAsia="Calibri"/>
          <w:b/>
          <w:sz w:val="24"/>
          <w:szCs w:val="24"/>
          <w:lang w:val="lt-LT" w:eastAsia="lt-LT"/>
        </w:rPr>
      </w:pPr>
      <w:r w:rsidRPr="00577FDA">
        <w:rPr>
          <w:rFonts w:eastAsia="Calibri"/>
          <w:b/>
          <w:sz w:val="24"/>
          <w:szCs w:val="24"/>
          <w:lang w:val="lt-LT" w:eastAsia="lt-LT"/>
        </w:rPr>
        <w:t xml:space="preserve">Sprendimo projekto tikslai ir uždaviniai, kiti sprendimui priimti reikalingi pagrindimai. </w:t>
      </w:r>
    </w:p>
    <w:p w14:paraId="6AB6AE3D" w14:textId="77777777" w:rsidR="006E3B66" w:rsidRDefault="006E3B66" w:rsidP="00EB361C">
      <w:pPr>
        <w:spacing w:line="276" w:lineRule="auto"/>
        <w:ind w:firstLine="851"/>
        <w:jc w:val="both"/>
        <w:rPr>
          <w:rFonts w:eastAsia="Calibri"/>
          <w:bCs/>
          <w:sz w:val="24"/>
          <w:szCs w:val="24"/>
          <w:lang w:val="lt-LT" w:eastAsia="lt-LT"/>
        </w:rPr>
      </w:pPr>
      <w:r>
        <w:rPr>
          <w:rFonts w:eastAsia="Calibri"/>
          <w:bCs/>
          <w:sz w:val="24"/>
          <w:szCs w:val="24"/>
          <w:lang w:val="lt-LT" w:eastAsia="lt-LT"/>
        </w:rPr>
        <w:t>Sprendimo projektu siekiama supaprastinti sodininkų rėmimą reglamentuojančias tvarkas, jas apjungiant ir atsisakant perteklinių, nepasiteisinusių nuostatų bei patikslinti praktikoje paaiškėjusias neaiškias nuostatas. Esminiai pakeitimai:</w:t>
      </w:r>
    </w:p>
    <w:p w14:paraId="7D473C8A" w14:textId="77777777" w:rsidR="006E3B66" w:rsidRDefault="006E3B66" w:rsidP="00EB361C">
      <w:pPr>
        <w:numPr>
          <w:ilvl w:val="1"/>
          <w:numId w:val="1"/>
        </w:numPr>
        <w:spacing w:line="276" w:lineRule="auto"/>
        <w:ind w:left="0" w:firstLine="851"/>
        <w:jc w:val="both"/>
        <w:rPr>
          <w:rFonts w:eastAsia="Calibri"/>
          <w:bCs/>
          <w:sz w:val="24"/>
          <w:szCs w:val="24"/>
          <w:lang w:val="lt-LT" w:eastAsia="lt-LT"/>
        </w:rPr>
      </w:pPr>
      <w:r>
        <w:rPr>
          <w:rFonts w:eastAsia="Calibri"/>
          <w:bCs/>
          <w:sz w:val="24"/>
          <w:szCs w:val="24"/>
          <w:lang w:val="lt-LT" w:eastAsia="lt-LT"/>
        </w:rPr>
        <w:t>atsisakoma nuostatų dėl gautų prašymų prioritetiškumo ir vertinimo kriterijų, nes realus paramos poreikis yra mažesnis nei finansavimo galimybės, todėl savivaldybė turi galimybę tenkinti visus gaunamus prašymus ir paramos teikimo reglamentavimas gali būti supaprastinamas iki aiškių kriterijų, kuriuos atitinkant parama gali būti teikiama;</w:t>
      </w:r>
    </w:p>
    <w:p w14:paraId="30EA66EE" w14:textId="77777777" w:rsidR="006E3B66" w:rsidRDefault="006E3B66" w:rsidP="00EB361C">
      <w:pPr>
        <w:numPr>
          <w:ilvl w:val="1"/>
          <w:numId w:val="1"/>
        </w:numPr>
        <w:spacing w:line="276" w:lineRule="auto"/>
        <w:ind w:left="0" w:firstLine="851"/>
        <w:jc w:val="both"/>
        <w:rPr>
          <w:rFonts w:eastAsia="Calibri"/>
          <w:bCs/>
          <w:sz w:val="24"/>
          <w:szCs w:val="24"/>
          <w:lang w:val="lt-LT" w:eastAsia="lt-LT"/>
        </w:rPr>
      </w:pPr>
      <w:r>
        <w:rPr>
          <w:rFonts w:eastAsia="Calibri"/>
          <w:bCs/>
          <w:sz w:val="24"/>
          <w:szCs w:val="24"/>
          <w:lang w:val="lt-LT" w:eastAsia="lt-LT"/>
        </w:rPr>
        <w:t>atsisakoma prašymų priėmimo pagal paskelbtą kvietimą juos teikti, pereinant prie nuolatinio paramos teikimo pagal gautus prašymus;</w:t>
      </w:r>
    </w:p>
    <w:p w14:paraId="2B7B8869" w14:textId="77777777" w:rsidR="006E3B66" w:rsidRDefault="006E3B66" w:rsidP="00EB361C">
      <w:pPr>
        <w:numPr>
          <w:ilvl w:val="1"/>
          <w:numId w:val="1"/>
        </w:numPr>
        <w:spacing w:line="276" w:lineRule="auto"/>
        <w:ind w:left="0" w:firstLine="851"/>
        <w:jc w:val="both"/>
        <w:rPr>
          <w:rFonts w:eastAsia="Calibri"/>
          <w:bCs/>
          <w:sz w:val="24"/>
          <w:szCs w:val="24"/>
          <w:lang w:val="lt-LT" w:eastAsia="lt-LT"/>
        </w:rPr>
      </w:pPr>
      <w:r>
        <w:rPr>
          <w:rFonts w:eastAsia="Calibri"/>
          <w:bCs/>
          <w:sz w:val="24"/>
          <w:szCs w:val="24"/>
          <w:lang w:val="lt-LT" w:eastAsia="lt-LT"/>
        </w:rPr>
        <w:t>atsisakoma reikalavimo teikti tuos dokumentus, kuriuos savivaldybės administracija gali patikrinti VĮ Registrų centro valdomuose registruose, vietoj to numatant pareiškėjų informavimą apie savivaldybės administracijos teisę tikrinti bendrijų duomenis Nekilnojamojo turto ir Juridinių asmenų registruose bei nurodant duomenų tikrinimo tikslus ir asmens duomenų naudojimo tvarką;</w:t>
      </w:r>
    </w:p>
    <w:p w14:paraId="3D2CF6B7" w14:textId="77777777" w:rsidR="006E3B66" w:rsidRDefault="006E3B66" w:rsidP="00EB361C">
      <w:pPr>
        <w:numPr>
          <w:ilvl w:val="1"/>
          <w:numId w:val="1"/>
        </w:numPr>
        <w:spacing w:line="276" w:lineRule="auto"/>
        <w:ind w:left="0" w:firstLine="851"/>
        <w:jc w:val="both"/>
        <w:rPr>
          <w:rFonts w:eastAsia="Calibri"/>
          <w:bCs/>
          <w:sz w:val="24"/>
          <w:szCs w:val="24"/>
          <w:lang w:val="lt-LT" w:eastAsia="lt-LT"/>
        </w:rPr>
      </w:pPr>
      <w:r>
        <w:rPr>
          <w:rFonts w:eastAsia="Calibri"/>
          <w:bCs/>
          <w:sz w:val="24"/>
          <w:szCs w:val="24"/>
          <w:lang w:val="lt-LT" w:eastAsia="lt-LT"/>
        </w:rPr>
        <w:t>atsisakoma paramos teikimą sieti su Bendrijos finansiniais įsipareigojimais pagal kitus teisės aktus;</w:t>
      </w:r>
    </w:p>
    <w:p w14:paraId="0101AAC4" w14:textId="77777777" w:rsidR="006E3B66" w:rsidRDefault="006E3B66" w:rsidP="00EB361C">
      <w:pPr>
        <w:numPr>
          <w:ilvl w:val="1"/>
          <w:numId w:val="1"/>
        </w:numPr>
        <w:spacing w:line="276" w:lineRule="auto"/>
        <w:ind w:left="0" w:firstLine="851"/>
        <w:jc w:val="both"/>
        <w:rPr>
          <w:rFonts w:eastAsia="Calibri"/>
          <w:bCs/>
          <w:sz w:val="24"/>
          <w:szCs w:val="24"/>
          <w:lang w:val="lt-LT" w:eastAsia="lt-LT"/>
        </w:rPr>
      </w:pPr>
      <w:r>
        <w:rPr>
          <w:rFonts w:eastAsia="Calibri"/>
          <w:bCs/>
          <w:sz w:val="24"/>
          <w:szCs w:val="24"/>
          <w:lang w:val="lt-LT" w:eastAsia="lt-LT"/>
        </w:rPr>
        <w:t>atsisakoma kompensuojamų sąnaudų patyrimo datos siejimo su kalendoriniais metais, numatant, kad tinkamomis sąnaudomis bus laikomos per pastaruosius 12 mėnesių iki prašymo pateikimo patirtos sąnaudos;</w:t>
      </w:r>
    </w:p>
    <w:p w14:paraId="3800E457" w14:textId="77777777" w:rsidR="006E3B66" w:rsidRDefault="006E3B66" w:rsidP="00EB361C">
      <w:pPr>
        <w:numPr>
          <w:ilvl w:val="1"/>
          <w:numId w:val="1"/>
        </w:numPr>
        <w:spacing w:line="276" w:lineRule="auto"/>
        <w:ind w:left="0" w:firstLine="851"/>
        <w:jc w:val="both"/>
        <w:rPr>
          <w:rFonts w:eastAsia="Calibri"/>
          <w:bCs/>
          <w:sz w:val="24"/>
          <w:szCs w:val="24"/>
          <w:lang w:val="lt-LT" w:eastAsia="lt-LT"/>
        </w:rPr>
      </w:pPr>
      <w:r>
        <w:rPr>
          <w:rFonts w:eastAsia="Calibri"/>
          <w:bCs/>
          <w:sz w:val="24"/>
          <w:szCs w:val="24"/>
          <w:lang w:val="lt-LT" w:eastAsia="lt-LT"/>
        </w:rPr>
        <w:t>atsisakoma nuostatos, kad parama vienai bendrijai gali būti skiriama vieną kartą per dvejus kalendorinius metus, paliekant galioti tik ribojimą, kad vienai bendrijai per metus gali būti kompensuojama ne daugiau kaip 10 000 Eur patirtų sąnaudų;</w:t>
      </w:r>
    </w:p>
    <w:p w14:paraId="1544ADDC" w14:textId="77777777" w:rsidR="006E3B66" w:rsidRDefault="006E3B66" w:rsidP="00EB361C">
      <w:pPr>
        <w:numPr>
          <w:ilvl w:val="1"/>
          <w:numId w:val="1"/>
        </w:numPr>
        <w:spacing w:line="276" w:lineRule="auto"/>
        <w:ind w:left="0" w:firstLine="851"/>
        <w:jc w:val="both"/>
        <w:rPr>
          <w:rFonts w:eastAsia="Calibri"/>
          <w:bCs/>
          <w:sz w:val="24"/>
          <w:szCs w:val="24"/>
          <w:lang w:val="lt-LT" w:eastAsia="lt-LT"/>
        </w:rPr>
      </w:pPr>
      <w:r>
        <w:rPr>
          <w:rFonts w:eastAsia="Calibri"/>
          <w:bCs/>
          <w:sz w:val="24"/>
          <w:szCs w:val="24"/>
          <w:lang w:val="lt-LT" w:eastAsia="lt-LT"/>
        </w:rPr>
        <w:t>apjungiamos į vieną paramos sodininkams ir sodininkų kelių išpirkimo tvarkos;</w:t>
      </w:r>
    </w:p>
    <w:p w14:paraId="06CE7E1C" w14:textId="77777777" w:rsidR="006E3B66" w:rsidRDefault="006E3B66" w:rsidP="00EB361C">
      <w:pPr>
        <w:numPr>
          <w:ilvl w:val="1"/>
          <w:numId w:val="1"/>
        </w:numPr>
        <w:spacing w:line="276" w:lineRule="auto"/>
        <w:ind w:left="0" w:firstLine="851"/>
        <w:jc w:val="both"/>
        <w:rPr>
          <w:rFonts w:eastAsia="Calibri"/>
          <w:bCs/>
          <w:sz w:val="24"/>
          <w:szCs w:val="24"/>
          <w:lang w:val="lt-LT" w:eastAsia="lt-LT"/>
        </w:rPr>
      </w:pPr>
      <w:r>
        <w:rPr>
          <w:rFonts w:eastAsia="Calibri"/>
          <w:bCs/>
          <w:sz w:val="24"/>
          <w:szCs w:val="24"/>
          <w:lang w:val="lt-LT" w:eastAsia="lt-LT"/>
        </w:rPr>
        <w:t>tikslinami reikalavimai iš sodininkų bendrijų perimamiems keliams, numatant, kad perimami keliai, siekiant tinkamos jų priežiūros turi turėti pravažiavimo, o akligatviai – apsisukimo galimybę;</w:t>
      </w:r>
    </w:p>
    <w:p w14:paraId="3AC89997" w14:textId="77777777" w:rsidR="006E3B66" w:rsidRDefault="006E3B66" w:rsidP="00EB361C">
      <w:pPr>
        <w:numPr>
          <w:ilvl w:val="1"/>
          <w:numId w:val="1"/>
        </w:numPr>
        <w:spacing w:line="276" w:lineRule="auto"/>
        <w:ind w:left="0" w:firstLine="851"/>
        <w:jc w:val="both"/>
        <w:rPr>
          <w:rFonts w:eastAsia="Calibri"/>
          <w:bCs/>
          <w:sz w:val="24"/>
          <w:szCs w:val="24"/>
          <w:lang w:val="lt-LT" w:eastAsia="lt-LT"/>
        </w:rPr>
      </w:pPr>
      <w:r>
        <w:rPr>
          <w:rFonts w:eastAsia="Calibri"/>
          <w:bCs/>
          <w:sz w:val="24"/>
          <w:szCs w:val="24"/>
          <w:lang w:val="lt-LT" w:eastAsia="lt-LT"/>
        </w:rPr>
        <w:t>nustatoma aiški prašymo paramai gauti forma.</w:t>
      </w:r>
    </w:p>
    <w:p w14:paraId="3CB91025" w14:textId="77777777" w:rsidR="006E3B66" w:rsidRDefault="006E3B66" w:rsidP="00EB361C">
      <w:pPr>
        <w:spacing w:line="276" w:lineRule="auto"/>
        <w:ind w:firstLine="851"/>
        <w:jc w:val="both"/>
        <w:rPr>
          <w:rFonts w:eastAsia="Calibri"/>
          <w:bCs/>
          <w:sz w:val="24"/>
          <w:szCs w:val="24"/>
          <w:lang w:val="lt-LT" w:eastAsia="lt-LT"/>
        </w:rPr>
      </w:pPr>
      <w:r>
        <w:rPr>
          <w:rFonts w:eastAsia="Calibri"/>
          <w:bCs/>
          <w:sz w:val="24"/>
          <w:szCs w:val="24"/>
          <w:lang w:val="lt-LT" w:eastAsia="lt-LT"/>
        </w:rPr>
        <w:t>Lyginamasis sprendimo variantas nerengiamas, nes tvarkos aprašas dėstomas iš esmės nauja redakcija.</w:t>
      </w:r>
    </w:p>
    <w:p w14:paraId="692CC4F9" w14:textId="77777777" w:rsidR="006E3B66" w:rsidRPr="009C1C0E" w:rsidRDefault="006E3B66" w:rsidP="00EB361C">
      <w:pPr>
        <w:tabs>
          <w:tab w:val="left" w:pos="142"/>
          <w:tab w:val="left" w:pos="284"/>
        </w:tabs>
        <w:spacing w:line="276" w:lineRule="auto"/>
        <w:ind w:firstLine="851"/>
        <w:jc w:val="both"/>
        <w:rPr>
          <w:rFonts w:eastAsia="Calibri"/>
          <w:bCs/>
          <w:sz w:val="24"/>
          <w:szCs w:val="24"/>
          <w:lang w:val="lt-LT" w:eastAsia="lt-LT"/>
        </w:rPr>
      </w:pPr>
      <w:r w:rsidRPr="009C1C0E">
        <w:rPr>
          <w:rFonts w:eastAsia="Calibri"/>
          <w:b/>
          <w:sz w:val="24"/>
          <w:szCs w:val="24"/>
          <w:lang w:val="lt-LT" w:eastAsia="lt-LT"/>
        </w:rPr>
        <w:t>2.</w:t>
      </w:r>
      <w:r>
        <w:rPr>
          <w:rFonts w:eastAsia="Calibri"/>
          <w:bCs/>
          <w:sz w:val="24"/>
          <w:szCs w:val="24"/>
          <w:lang w:val="lt-LT" w:eastAsia="lt-LT"/>
        </w:rPr>
        <w:t xml:space="preserve"> </w:t>
      </w:r>
      <w:r w:rsidRPr="00577FDA">
        <w:rPr>
          <w:rFonts w:eastAsia="Calibri"/>
          <w:b/>
          <w:sz w:val="24"/>
          <w:szCs w:val="24"/>
          <w:lang w:val="lt-LT" w:eastAsia="lt-LT"/>
        </w:rPr>
        <w:t>Teisinis reglamentavimas, kuriuo vadovaujantis parengtas sprendimo projektas. Keičiami/naikinami teisės aktai priimant sprendimą.</w:t>
      </w:r>
    </w:p>
    <w:p w14:paraId="758D7B4A" w14:textId="77777777" w:rsidR="006E3B66" w:rsidRDefault="006E3B66" w:rsidP="00EB361C">
      <w:pPr>
        <w:pStyle w:val="tajtip"/>
        <w:shd w:val="clear" w:color="auto" w:fill="FFFFFF"/>
        <w:spacing w:before="0" w:beforeAutospacing="0" w:after="0" w:afterAutospacing="0" w:line="276" w:lineRule="auto"/>
        <w:ind w:firstLine="851"/>
        <w:jc w:val="both"/>
      </w:pPr>
      <w:r>
        <w:t xml:space="preserve">Vietos savivaldos įstatymo 16 str. 4 d. numato savivaldybės tarybos iniciatyvos teisę priimti sprendimus dėl teisės aktuose nustatytų papildomų įgaliojimų savivaldybei vykdymo. Šiuo atveju tokiu papildomu įgaliojimu laikytina Sodininkų bendrijų įstatymo 28 str. 2 d. numatanti savivaldybių teisę biudžeto lėšomis remti sodininkų bendrijas visiškai ar iš dalies apmokant jų išlaidas susijusias su bendrojo naudojimo objektų statyba ar atnaujinimu. Sodininkų bendrijų įstatymo 6 str. 8 d. nustato reikalavimus sodininkų kelių pločiui ir pravažiuojamumui, o 20 str. 2 d. 2 p. įtvirtina draudimą </w:t>
      </w:r>
      <w:r>
        <w:lastRenderedPageBreak/>
        <w:t xml:space="preserve">sodininkams perleisti bendrosios nuosavybės teise jiems priklausantį turtą neatlygintinai. Būtent ši nuostata, įvertinant tai, kad to paties įstatymo 7 str. 1 d. nustato, kad bendrojo naudojimo žemėje esantys keliai yra bendroji dalinė sodininkų nuosavybė, jei ji nėra kitų asmenų nuosavybė, neleidžia savivaldybei perimti kelių iš sodininkų neatlygintinai. Neatlygintinas turto perdavimas savivaldybei, vadovaujantis Valstybės ir savivaldybių turto valdymo, naudojimo ir disponavimo juo įstatymo nuostatomis galimas tik iš valstybės arba kitų savivaldybių. Visais kitais atvejais, įskaitant ir sodininkus turto perdavimas galimas tik pagal sandorius. Valstybės institucijos jau daugiau kaip 10-metį periodiškai ieško būdų sodininkų kelių paprastesniam perėmimui bei tvarkymui, tačiau šie svarstymai rezultatų kol kas neduoda. Pasikeitus valstybės lygmens teisiniam reglamentavimui sodininkų kelių perėmimo tvarką bus galima koreguoti. </w:t>
      </w:r>
    </w:p>
    <w:p w14:paraId="4FBFC93B" w14:textId="77777777" w:rsidR="006E3B66" w:rsidRPr="00654423" w:rsidRDefault="006E3B66" w:rsidP="00EB361C">
      <w:pPr>
        <w:pStyle w:val="tajtip"/>
        <w:shd w:val="clear" w:color="auto" w:fill="FFFFFF"/>
        <w:spacing w:before="0" w:beforeAutospacing="0" w:after="0" w:afterAutospacing="0" w:line="276" w:lineRule="auto"/>
        <w:ind w:firstLine="851"/>
        <w:jc w:val="both"/>
      </w:pPr>
      <w:r>
        <w:t xml:space="preserve">Sprendimo projektu siūloma pripažinti netekusiais galios du ankstesnius paramą sodininkams reglamentavusius sprendimus. </w:t>
      </w:r>
    </w:p>
    <w:p w14:paraId="589F916D" w14:textId="77777777" w:rsidR="006E3B66" w:rsidRPr="00577FDA" w:rsidRDefault="006E3B66" w:rsidP="00EB361C">
      <w:pPr>
        <w:tabs>
          <w:tab w:val="left" w:pos="567"/>
        </w:tabs>
        <w:spacing w:line="276" w:lineRule="auto"/>
        <w:ind w:firstLine="851"/>
        <w:contextualSpacing/>
        <w:jc w:val="both"/>
        <w:outlineLvl w:val="5"/>
        <w:rPr>
          <w:rFonts w:eastAsia="Calibri"/>
          <w:b/>
          <w:sz w:val="24"/>
          <w:szCs w:val="24"/>
          <w:lang w:val="lt-LT" w:eastAsia="lt-LT"/>
        </w:rPr>
      </w:pPr>
      <w:r>
        <w:rPr>
          <w:rFonts w:eastAsia="Calibri"/>
          <w:b/>
          <w:sz w:val="24"/>
          <w:szCs w:val="24"/>
          <w:lang w:val="lt-LT" w:eastAsia="lt-LT"/>
        </w:rPr>
        <w:t xml:space="preserve">3.    </w:t>
      </w:r>
      <w:r w:rsidRPr="00577FDA">
        <w:rPr>
          <w:rFonts w:eastAsia="Calibri"/>
          <w:b/>
          <w:sz w:val="24"/>
          <w:szCs w:val="24"/>
          <w:lang w:val="lt-LT" w:eastAsia="lt-LT"/>
        </w:rPr>
        <w:t>Laukiami sprendimo priėmimo rezultatai.</w:t>
      </w:r>
    </w:p>
    <w:p w14:paraId="7C9ADC6F" w14:textId="77777777" w:rsidR="006E3B66" w:rsidRDefault="006E3B66" w:rsidP="00EB361C">
      <w:pPr>
        <w:spacing w:line="276" w:lineRule="auto"/>
        <w:ind w:firstLine="851"/>
        <w:jc w:val="both"/>
        <w:rPr>
          <w:rFonts w:eastAsia="Calibri"/>
          <w:bCs/>
          <w:sz w:val="24"/>
          <w:szCs w:val="24"/>
          <w:lang w:val="lt-LT" w:eastAsia="lt-LT"/>
        </w:rPr>
      </w:pPr>
      <w:r w:rsidRPr="001A2A45">
        <w:rPr>
          <w:rFonts w:eastAsia="Calibri"/>
          <w:bCs/>
          <w:sz w:val="24"/>
          <w:szCs w:val="24"/>
          <w:lang w:val="lt-LT" w:eastAsia="lt-LT"/>
        </w:rPr>
        <w:t xml:space="preserve">Tvarka </w:t>
      </w:r>
      <w:r>
        <w:rPr>
          <w:rFonts w:eastAsia="Calibri"/>
          <w:bCs/>
          <w:sz w:val="24"/>
          <w:szCs w:val="24"/>
          <w:lang w:val="lt-LT" w:eastAsia="lt-LT"/>
        </w:rPr>
        <w:t>bus paprastesnė ir lengviau suprantama sodininkams, kelių perėmimas bus siejamus su galimybę tuos kelius tinkamai tvarkyti bei prižiūrėti. Sodininkams atsiras galimybė dažniau pretenduoti į kompensacijas nei buvo iki šiol. Neigiamų pasekmių nenumatoma.</w:t>
      </w:r>
      <w:r w:rsidRPr="001A2A45">
        <w:rPr>
          <w:rFonts w:eastAsia="Calibri"/>
          <w:bCs/>
          <w:sz w:val="24"/>
          <w:szCs w:val="24"/>
          <w:lang w:val="lt-LT" w:eastAsia="lt-LT"/>
        </w:rPr>
        <w:t xml:space="preserve">  </w:t>
      </w:r>
    </w:p>
    <w:p w14:paraId="27BA50F7" w14:textId="77777777" w:rsidR="006E3B66" w:rsidRDefault="006E3B66" w:rsidP="00EB361C">
      <w:pPr>
        <w:overflowPunct w:val="0"/>
        <w:autoSpaceDE w:val="0"/>
        <w:autoSpaceDN w:val="0"/>
        <w:adjustRightInd w:val="0"/>
        <w:spacing w:line="276" w:lineRule="auto"/>
        <w:ind w:firstLine="851"/>
        <w:contextualSpacing/>
        <w:jc w:val="both"/>
        <w:outlineLvl w:val="5"/>
        <w:rPr>
          <w:rFonts w:eastAsia="Calibri"/>
          <w:b/>
          <w:sz w:val="24"/>
          <w:szCs w:val="24"/>
          <w:lang w:val="lt-LT" w:eastAsia="lt-LT"/>
        </w:rPr>
      </w:pPr>
      <w:r>
        <w:rPr>
          <w:rFonts w:eastAsia="Calibri"/>
          <w:b/>
          <w:sz w:val="24"/>
          <w:szCs w:val="24"/>
          <w:lang w:val="lt-LT" w:eastAsia="lt-LT"/>
        </w:rPr>
        <w:t xml:space="preserve">4.     </w:t>
      </w:r>
      <w:r w:rsidRPr="00577FDA">
        <w:rPr>
          <w:rFonts w:eastAsia="Calibri"/>
          <w:b/>
          <w:sz w:val="24"/>
          <w:szCs w:val="24"/>
          <w:lang w:val="lt-LT" w:eastAsia="lt-LT"/>
        </w:rPr>
        <w:t>Lėšų poreikis ir šaltiniai reikalingi sprendimo priėmimui.</w:t>
      </w:r>
    </w:p>
    <w:p w14:paraId="31C0C988" w14:textId="77777777" w:rsidR="006E3B66" w:rsidRPr="001A2A45" w:rsidRDefault="006E3B66" w:rsidP="00EB361C">
      <w:pPr>
        <w:overflowPunct w:val="0"/>
        <w:autoSpaceDE w:val="0"/>
        <w:autoSpaceDN w:val="0"/>
        <w:adjustRightInd w:val="0"/>
        <w:spacing w:line="276" w:lineRule="auto"/>
        <w:ind w:firstLine="851"/>
        <w:contextualSpacing/>
        <w:jc w:val="both"/>
        <w:outlineLvl w:val="5"/>
        <w:rPr>
          <w:rFonts w:eastAsia="Calibri"/>
          <w:bCs/>
          <w:sz w:val="24"/>
          <w:szCs w:val="24"/>
          <w:lang w:val="lt-LT" w:eastAsia="lt-LT"/>
        </w:rPr>
      </w:pPr>
      <w:r>
        <w:rPr>
          <w:rFonts w:eastAsia="Calibri"/>
          <w:bCs/>
          <w:sz w:val="24"/>
          <w:szCs w:val="24"/>
          <w:lang w:val="lt-LT" w:eastAsia="lt-LT"/>
        </w:rPr>
        <w:t>Sprendimo priėmimui papildomų lėšų poreikio nėra.</w:t>
      </w:r>
    </w:p>
    <w:p w14:paraId="3D54E919" w14:textId="77777777" w:rsidR="006E3B66" w:rsidRPr="00577FDA" w:rsidRDefault="006E3B66" w:rsidP="00EB361C">
      <w:pPr>
        <w:spacing w:line="276" w:lineRule="auto"/>
        <w:ind w:firstLine="851"/>
        <w:contextualSpacing/>
        <w:jc w:val="both"/>
        <w:outlineLvl w:val="5"/>
        <w:rPr>
          <w:rFonts w:eastAsia="Calibri"/>
          <w:b/>
          <w:bCs/>
          <w:sz w:val="24"/>
          <w:szCs w:val="24"/>
          <w:lang w:val="lt-LT" w:eastAsia="lt-LT"/>
        </w:rPr>
      </w:pPr>
      <w:r>
        <w:rPr>
          <w:rFonts w:eastAsia="Calibri"/>
          <w:b/>
          <w:bCs/>
          <w:sz w:val="24"/>
          <w:szCs w:val="24"/>
          <w:lang w:val="lt-LT" w:eastAsia="lt-LT"/>
        </w:rPr>
        <w:t xml:space="preserve">5. </w:t>
      </w:r>
      <w:r w:rsidRPr="00577FDA">
        <w:rPr>
          <w:rFonts w:eastAsia="Calibri"/>
          <w:b/>
          <w:bCs/>
          <w:sz w:val="24"/>
          <w:szCs w:val="24"/>
          <w:lang w:val="lt-LT" w:eastAsia="lt-LT"/>
        </w:rPr>
        <w:t xml:space="preserve">Antikorupcinis vertinimas.         </w:t>
      </w:r>
    </w:p>
    <w:p w14:paraId="7D7F3DEB" w14:textId="77777777" w:rsidR="006E3B66" w:rsidRPr="00577FDA" w:rsidRDefault="006E3B66" w:rsidP="00EB361C">
      <w:pPr>
        <w:spacing w:line="276" w:lineRule="auto"/>
        <w:ind w:firstLine="851"/>
        <w:jc w:val="both"/>
        <w:rPr>
          <w:sz w:val="24"/>
          <w:szCs w:val="24"/>
          <w:lang w:val="lt-LT" w:eastAsia="lt-LT"/>
        </w:rPr>
      </w:pPr>
      <w:r w:rsidRPr="00577FDA">
        <w:rPr>
          <w:sz w:val="24"/>
          <w:szCs w:val="24"/>
          <w:lang w:val="lt-LT" w:eastAsia="lt-LT"/>
        </w:rPr>
        <w:t xml:space="preserve">Vadovaujantis </w:t>
      </w:r>
      <w:r>
        <w:rPr>
          <w:sz w:val="24"/>
          <w:szCs w:val="24"/>
          <w:lang w:val="lt-LT" w:eastAsia="lt-LT"/>
        </w:rPr>
        <w:t>K</w:t>
      </w:r>
      <w:r w:rsidRPr="00577FDA">
        <w:rPr>
          <w:sz w:val="24"/>
          <w:szCs w:val="24"/>
          <w:lang w:val="lt-LT" w:eastAsia="lt-LT"/>
        </w:rPr>
        <w:t>orupcijos prevencijos įstatymo nuostatomis, sprendimo projekto antikorupcinis vertinimas atliekamas, nes sprendim</w:t>
      </w:r>
      <w:r>
        <w:rPr>
          <w:sz w:val="24"/>
          <w:szCs w:val="24"/>
          <w:lang w:val="lt-LT" w:eastAsia="lt-LT"/>
        </w:rPr>
        <w:t>u</w:t>
      </w:r>
      <w:r w:rsidRPr="00577FDA">
        <w:rPr>
          <w:sz w:val="24"/>
          <w:szCs w:val="24"/>
          <w:lang w:val="lt-LT" w:eastAsia="lt-LT"/>
        </w:rPr>
        <w:t xml:space="preserve"> numatoma reguliuoti visuomeninius santykius, numatytus šio įstatymo 8 straipsnio 1 dalyje. </w:t>
      </w:r>
    </w:p>
    <w:p w14:paraId="15775869" w14:textId="77777777" w:rsidR="006E3B66" w:rsidRDefault="006E3B66" w:rsidP="006E3B66">
      <w:pPr>
        <w:spacing w:line="276" w:lineRule="auto"/>
        <w:jc w:val="center"/>
        <w:rPr>
          <w:sz w:val="24"/>
          <w:szCs w:val="24"/>
          <w:lang w:val="lt-LT" w:eastAsia="lt-LT"/>
        </w:rPr>
      </w:pPr>
    </w:p>
    <w:p w14:paraId="772CA426" w14:textId="77777777" w:rsidR="006E3B66" w:rsidRDefault="006E3B66" w:rsidP="006E3B66">
      <w:pPr>
        <w:spacing w:line="276" w:lineRule="auto"/>
        <w:jc w:val="center"/>
        <w:rPr>
          <w:sz w:val="24"/>
          <w:szCs w:val="24"/>
          <w:lang w:val="lt-LT" w:eastAsia="lt-LT"/>
        </w:rPr>
      </w:pPr>
    </w:p>
    <w:p w14:paraId="06A238E6" w14:textId="77777777" w:rsidR="006E3B66" w:rsidRPr="00577FDA" w:rsidRDefault="006E3B66" w:rsidP="006E3B66">
      <w:pPr>
        <w:spacing w:line="276" w:lineRule="auto"/>
        <w:jc w:val="center"/>
        <w:rPr>
          <w:sz w:val="24"/>
          <w:szCs w:val="24"/>
          <w:lang w:val="lt-LT" w:eastAsia="lt-LT"/>
        </w:rPr>
      </w:pPr>
    </w:p>
    <w:p w14:paraId="186D8308" w14:textId="726B3644" w:rsidR="006E3B66" w:rsidRDefault="006E3B66" w:rsidP="006E3B66">
      <w:pPr>
        <w:spacing w:line="276" w:lineRule="auto"/>
        <w:jc w:val="both"/>
        <w:rPr>
          <w:sz w:val="24"/>
          <w:szCs w:val="24"/>
          <w:lang w:val="lt-LT" w:eastAsia="lt-LT"/>
        </w:rPr>
      </w:pPr>
      <w:r w:rsidRPr="00577FDA">
        <w:rPr>
          <w:sz w:val="24"/>
          <w:szCs w:val="24"/>
          <w:lang w:val="lt-LT" w:eastAsia="lt-LT"/>
        </w:rPr>
        <w:t>Turto ir aplinkos apsaugos skyriaus vedėja</w:t>
      </w:r>
      <w:r w:rsidRPr="00577FDA">
        <w:rPr>
          <w:sz w:val="24"/>
          <w:szCs w:val="24"/>
          <w:lang w:val="lt-LT" w:eastAsia="lt-LT"/>
        </w:rPr>
        <w:tab/>
      </w:r>
      <w:r>
        <w:rPr>
          <w:sz w:val="24"/>
          <w:szCs w:val="24"/>
          <w:lang w:val="lt-LT" w:eastAsia="lt-LT"/>
        </w:rPr>
        <w:tab/>
      </w:r>
      <w:r w:rsidRPr="00577FDA">
        <w:rPr>
          <w:sz w:val="24"/>
          <w:szCs w:val="24"/>
          <w:lang w:val="lt-LT" w:eastAsia="lt-LT"/>
        </w:rPr>
        <w:tab/>
        <w:t>Jolita Gumaniukienė</w:t>
      </w:r>
    </w:p>
    <w:p w14:paraId="3C489B94" w14:textId="77777777" w:rsidR="006E3B66" w:rsidRPr="00BE4573" w:rsidRDefault="006E3B66" w:rsidP="006E3B66">
      <w:pPr>
        <w:rPr>
          <w:sz w:val="22"/>
          <w:szCs w:val="22"/>
          <w:lang w:val="lt-LT"/>
        </w:rPr>
      </w:pPr>
    </w:p>
    <w:p w14:paraId="7682FB70" w14:textId="77777777" w:rsidR="002821A9" w:rsidRDefault="002821A9"/>
    <w:sectPr w:rsidR="002821A9" w:rsidSect="00BE4573">
      <w:footerReference w:type="default" r:id="rId7"/>
      <w:headerReference w:type="first" r:id="rId8"/>
      <w:pgSz w:w="11906" w:h="16838" w:code="9"/>
      <w:pgMar w:top="568" w:right="567" w:bottom="851" w:left="1560"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21288" w14:textId="77777777" w:rsidR="00C571BF" w:rsidRDefault="00C571BF" w:rsidP="006E3B66">
      <w:r>
        <w:separator/>
      </w:r>
    </w:p>
  </w:endnote>
  <w:endnote w:type="continuationSeparator" w:id="0">
    <w:p w14:paraId="7CA43011" w14:textId="77777777" w:rsidR="00C571BF" w:rsidRDefault="00C571BF" w:rsidP="006E3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55628" w14:textId="77777777" w:rsidR="00FE2CEC" w:rsidRPr="00FE2CEC" w:rsidRDefault="00C571BF" w:rsidP="00FE2CEC">
    <w:pPr>
      <w:pStyle w:val="Porat"/>
      <w:jc w:val="cen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84456" w14:textId="77777777" w:rsidR="00C571BF" w:rsidRDefault="00C571BF" w:rsidP="006E3B66">
      <w:r>
        <w:separator/>
      </w:r>
    </w:p>
  </w:footnote>
  <w:footnote w:type="continuationSeparator" w:id="0">
    <w:p w14:paraId="7B0FD1AD" w14:textId="77777777" w:rsidR="00C571BF" w:rsidRDefault="00C571BF" w:rsidP="006E3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82368" w14:textId="77777777" w:rsidR="002660D9" w:rsidRPr="002660D9" w:rsidRDefault="00095111" w:rsidP="00FE2CEC">
    <w:pPr>
      <w:pStyle w:val="Antrats"/>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00039"/>
    <w:multiLevelType w:val="multilevel"/>
    <w:tmpl w:val="C136A4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B66"/>
    <w:rsid w:val="00095111"/>
    <w:rsid w:val="002821A9"/>
    <w:rsid w:val="006E3B66"/>
    <w:rsid w:val="00C571BF"/>
    <w:rsid w:val="00EB36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C15D1"/>
  <w15:chartTrackingRefBased/>
  <w15:docId w15:val="{20DC7E3F-94F8-476B-A639-6E52C410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3B66"/>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w:basedOn w:val="prastasis"/>
    <w:link w:val="AntratsDiagrama"/>
    <w:uiPriority w:val="99"/>
    <w:rsid w:val="006E3B66"/>
    <w:pPr>
      <w:tabs>
        <w:tab w:val="center" w:pos="4153"/>
        <w:tab w:val="right" w:pos="8306"/>
      </w:tabs>
    </w:pPr>
  </w:style>
  <w:style w:type="character" w:customStyle="1" w:styleId="AntratsDiagrama">
    <w:name w:val="Antraštės Diagrama"/>
    <w:aliases w:val=" Char Diagrama"/>
    <w:basedOn w:val="Numatytasispastraiposriftas"/>
    <w:link w:val="Antrats"/>
    <w:uiPriority w:val="99"/>
    <w:rsid w:val="006E3B66"/>
    <w:rPr>
      <w:rFonts w:ascii="Times New Roman" w:eastAsia="Times New Roman" w:hAnsi="Times New Roman" w:cs="Times New Roman"/>
      <w:sz w:val="20"/>
      <w:szCs w:val="20"/>
      <w:lang w:val="en-GB"/>
    </w:rPr>
  </w:style>
  <w:style w:type="paragraph" w:styleId="Porat">
    <w:name w:val="footer"/>
    <w:basedOn w:val="prastasis"/>
    <w:link w:val="PoratDiagrama"/>
    <w:rsid w:val="006E3B66"/>
    <w:pPr>
      <w:tabs>
        <w:tab w:val="center" w:pos="4153"/>
        <w:tab w:val="right" w:pos="8306"/>
      </w:tabs>
    </w:pPr>
  </w:style>
  <w:style w:type="character" w:customStyle="1" w:styleId="PoratDiagrama">
    <w:name w:val="Poraštė Diagrama"/>
    <w:basedOn w:val="Numatytasispastraiposriftas"/>
    <w:link w:val="Porat"/>
    <w:rsid w:val="006E3B66"/>
    <w:rPr>
      <w:rFonts w:ascii="Times New Roman" w:eastAsia="Times New Roman" w:hAnsi="Times New Roman" w:cs="Times New Roman"/>
      <w:sz w:val="20"/>
      <w:szCs w:val="20"/>
      <w:lang w:val="en-GB"/>
    </w:rPr>
  </w:style>
  <w:style w:type="paragraph" w:customStyle="1" w:styleId="tajtip">
    <w:name w:val="tajtip"/>
    <w:basedOn w:val="prastasis"/>
    <w:rsid w:val="006E3B66"/>
    <w:pPr>
      <w:spacing w:before="100" w:beforeAutospacing="1" w:after="100" w:afterAutospacing="1"/>
    </w:pPr>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3103</Words>
  <Characters>1770</Characters>
  <Application>Microsoft Office Word</Application>
  <DocSecurity>0</DocSecurity>
  <Lines>14</Lines>
  <Paragraphs>9</Paragraphs>
  <ScaleCrop>false</ScaleCrop>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Gumaniukienė</dc:creator>
  <cp:keywords/>
  <dc:description/>
  <cp:lastModifiedBy>Živilė Besevičienė</cp:lastModifiedBy>
  <cp:revision>2</cp:revision>
  <dcterms:created xsi:type="dcterms:W3CDTF">2021-09-20T06:06:00Z</dcterms:created>
  <dcterms:modified xsi:type="dcterms:W3CDTF">2021-09-20T10:32:00Z</dcterms:modified>
</cp:coreProperties>
</file>